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5EB" w:rsidRPr="004F65EB" w:rsidRDefault="004F65EB" w:rsidP="004F65EB">
      <w:pPr>
        <w:spacing w:before="240" w:after="240" w:line="340" w:lineRule="exact"/>
        <w:jc w:val="right"/>
        <w:rPr>
          <w:rFonts w:ascii="Times New Roman" w:hAnsi="Times New Roman" w:cs="Times New Roman"/>
          <w:sz w:val="24"/>
          <w:szCs w:val="24"/>
        </w:rPr>
      </w:pPr>
      <w:r w:rsidRPr="004F65EB">
        <w:rPr>
          <w:rFonts w:ascii="Times New Roman" w:hAnsi="Times New Roman" w:cs="Times New Roman"/>
          <w:sz w:val="24"/>
          <w:szCs w:val="24"/>
        </w:rPr>
        <w:t>Piura, 20 de diciembre de</w:t>
      </w:r>
      <w:r>
        <w:rPr>
          <w:rFonts w:ascii="Times New Roman" w:hAnsi="Times New Roman" w:cs="Times New Roman"/>
          <w:sz w:val="24"/>
          <w:szCs w:val="24"/>
        </w:rPr>
        <w:t xml:space="preserve"> 2018</w:t>
      </w:r>
    </w:p>
    <w:p w:rsidR="004F65EB" w:rsidRPr="004F65EB" w:rsidRDefault="004F65EB" w:rsidP="004F65EB">
      <w:pPr>
        <w:spacing w:before="240" w:after="240" w:line="340" w:lineRule="exact"/>
        <w:jc w:val="both"/>
        <w:rPr>
          <w:rFonts w:ascii="Times New Roman" w:hAnsi="Times New Roman" w:cs="Times New Roman"/>
          <w:sz w:val="24"/>
          <w:szCs w:val="24"/>
        </w:rPr>
      </w:pPr>
    </w:p>
    <w:p w:rsidR="004F65EB" w:rsidRPr="004F65EB" w:rsidRDefault="004F65EB" w:rsidP="004F65EB">
      <w:pPr>
        <w:spacing w:after="0" w:line="340" w:lineRule="exact"/>
        <w:jc w:val="both"/>
        <w:rPr>
          <w:rFonts w:ascii="Times New Roman" w:hAnsi="Times New Roman" w:cs="Times New Roman"/>
          <w:b/>
          <w:sz w:val="24"/>
          <w:szCs w:val="24"/>
        </w:rPr>
      </w:pPr>
      <w:r w:rsidRPr="004F65EB">
        <w:rPr>
          <w:rFonts w:ascii="Times New Roman" w:hAnsi="Times New Roman" w:cs="Times New Roman"/>
          <w:b/>
          <w:sz w:val="24"/>
          <w:szCs w:val="24"/>
        </w:rPr>
        <w:t xml:space="preserve">Señor </w:t>
      </w:r>
      <w:r w:rsidRPr="004F65EB">
        <w:rPr>
          <w:rFonts w:ascii="Times New Roman" w:hAnsi="Times New Roman" w:cs="Times New Roman"/>
          <w:b/>
          <w:smallCaps/>
          <w:sz w:val="24"/>
          <w:szCs w:val="24"/>
        </w:rPr>
        <w:t>Dr. Arsenio Oré Guardia</w:t>
      </w:r>
      <w:r w:rsidRPr="004F65EB">
        <w:rPr>
          <w:rFonts w:ascii="Times New Roman" w:hAnsi="Times New Roman" w:cs="Times New Roman"/>
          <w:b/>
          <w:sz w:val="24"/>
          <w:szCs w:val="24"/>
        </w:rPr>
        <w:t xml:space="preserve"> </w:t>
      </w:r>
    </w:p>
    <w:p w:rsidR="004F65EB" w:rsidRPr="004F65EB" w:rsidRDefault="004F65EB" w:rsidP="004F65EB">
      <w:pPr>
        <w:spacing w:after="0" w:line="340" w:lineRule="exact"/>
        <w:jc w:val="both"/>
        <w:rPr>
          <w:rFonts w:ascii="Times New Roman" w:hAnsi="Times New Roman" w:cs="Times New Roman"/>
          <w:sz w:val="24"/>
          <w:szCs w:val="24"/>
        </w:rPr>
      </w:pPr>
      <w:r w:rsidRPr="004F65EB">
        <w:rPr>
          <w:rFonts w:ascii="Times New Roman" w:hAnsi="Times New Roman" w:cs="Times New Roman"/>
          <w:sz w:val="24"/>
          <w:szCs w:val="24"/>
        </w:rPr>
        <w:t>Gerente General del Estudio Oré Guardia</w:t>
      </w:r>
    </w:p>
    <w:p w:rsidR="004F65EB" w:rsidRPr="004F65EB" w:rsidRDefault="004F65EB" w:rsidP="004F65EB">
      <w:pPr>
        <w:spacing w:before="120" w:after="120" w:line="340" w:lineRule="exact"/>
        <w:jc w:val="both"/>
        <w:rPr>
          <w:rFonts w:ascii="Times New Roman" w:hAnsi="Times New Roman" w:cs="Times New Roman"/>
          <w:sz w:val="24"/>
          <w:szCs w:val="24"/>
        </w:rPr>
      </w:pPr>
    </w:p>
    <w:p w:rsidR="004F65EB" w:rsidRPr="004F65EB" w:rsidRDefault="004F65EB" w:rsidP="004F65EB">
      <w:pPr>
        <w:spacing w:before="240" w:after="240" w:line="240" w:lineRule="auto"/>
        <w:ind w:left="5103"/>
        <w:jc w:val="both"/>
        <w:rPr>
          <w:rFonts w:ascii="Times New Roman" w:hAnsi="Times New Roman" w:cs="Times New Roman"/>
          <w:sz w:val="24"/>
          <w:szCs w:val="24"/>
        </w:rPr>
      </w:pPr>
    </w:p>
    <w:p w:rsidR="004F65EB" w:rsidRPr="004F65EB" w:rsidRDefault="004F65EB" w:rsidP="004F65EB">
      <w:pPr>
        <w:spacing w:before="240" w:after="240" w:line="240" w:lineRule="auto"/>
        <w:ind w:left="5103" w:right="248"/>
        <w:jc w:val="both"/>
        <w:rPr>
          <w:rFonts w:ascii="Times New Roman" w:hAnsi="Times New Roman" w:cs="Times New Roman"/>
          <w:sz w:val="20"/>
          <w:szCs w:val="20"/>
        </w:rPr>
      </w:pPr>
      <w:r w:rsidRPr="004F65EB">
        <w:rPr>
          <w:rFonts w:ascii="Times New Roman" w:hAnsi="Times New Roman" w:cs="Times New Roman"/>
          <w:sz w:val="20"/>
          <w:szCs w:val="20"/>
        </w:rPr>
        <w:t>Ref: Informe jurídico constitucional sobre la validez constitucional de la medida de allanamiento ordenada y ejecutada en contra del Estudio Oré Guardia.</w:t>
      </w:r>
    </w:p>
    <w:p w:rsidR="004F65EB" w:rsidRPr="004F65EB" w:rsidRDefault="004F65EB" w:rsidP="004F65EB">
      <w:pPr>
        <w:spacing w:before="240" w:after="240" w:line="240" w:lineRule="auto"/>
        <w:ind w:left="5103" w:right="248"/>
        <w:jc w:val="both"/>
        <w:rPr>
          <w:rFonts w:ascii="Times New Roman" w:hAnsi="Times New Roman" w:cs="Times New Roman"/>
          <w:sz w:val="24"/>
          <w:szCs w:val="24"/>
        </w:rPr>
      </w:pPr>
      <w:r w:rsidRPr="004F65EB">
        <w:rPr>
          <w:rFonts w:ascii="Times New Roman" w:hAnsi="Times New Roman" w:cs="Times New Roman"/>
          <w:sz w:val="24"/>
          <w:szCs w:val="24"/>
        </w:rPr>
        <w:t xml:space="preserve"> </w:t>
      </w:r>
    </w:p>
    <w:p w:rsidR="004F65EB" w:rsidRPr="004F65EB" w:rsidRDefault="004F65EB" w:rsidP="004F65EB">
      <w:pPr>
        <w:spacing w:before="240" w:after="240" w:line="340" w:lineRule="exact"/>
        <w:jc w:val="both"/>
        <w:rPr>
          <w:rFonts w:ascii="Times New Roman" w:hAnsi="Times New Roman" w:cs="Times New Roman"/>
          <w:sz w:val="24"/>
          <w:szCs w:val="24"/>
        </w:rPr>
      </w:pPr>
      <w:r w:rsidRPr="004F65EB">
        <w:rPr>
          <w:rFonts w:ascii="Times New Roman" w:hAnsi="Times New Roman" w:cs="Times New Roman"/>
          <w:sz w:val="24"/>
          <w:szCs w:val="24"/>
        </w:rPr>
        <w:t>De mi mayor consideración:</w:t>
      </w:r>
    </w:p>
    <w:p w:rsidR="004F65EB" w:rsidRPr="004F65EB" w:rsidRDefault="004F65EB" w:rsidP="004F65EB">
      <w:pPr>
        <w:spacing w:before="240" w:after="240" w:line="340" w:lineRule="exact"/>
        <w:ind w:firstLine="1134"/>
        <w:jc w:val="both"/>
        <w:rPr>
          <w:rFonts w:ascii="Times New Roman" w:hAnsi="Times New Roman" w:cs="Times New Roman"/>
          <w:sz w:val="24"/>
          <w:szCs w:val="24"/>
        </w:rPr>
      </w:pPr>
      <w:r w:rsidRPr="004F65EB">
        <w:rPr>
          <w:rFonts w:ascii="Times New Roman" w:hAnsi="Times New Roman" w:cs="Times New Roman"/>
          <w:sz w:val="24"/>
          <w:szCs w:val="24"/>
        </w:rPr>
        <w:t xml:space="preserve">Me es grato dirigirme a Ud. en relación al asunto de la referencia para hacerle llegar el informe jurídico que absuelve la consulta que oportunamente me </w:t>
      </w:r>
      <w:bookmarkStart w:id="0" w:name="_GoBack"/>
      <w:bookmarkEnd w:id="0"/>
      <w:r w:rsidRPr="004F65EB">
        <w:rPr>
          <w:rFonts w:ascii="Times New Roman" w:hAnsi="Times New Roman" w:cs="Times New Roman"/>
          <w:sz w:val="24"/>
          <w:szCs w:val="24"/>
        </w:rPr>
        <w:t>formulara. Quedo a su disposición para resolver cualquier inquietud adicional que del mismo pueda generarse.</w:t>
      </w:r>
    </w:p>
    <w:p w:rsidR="004F65EB" w:rsidRPr="004F65EB" w:rsidRDefault="004F65EB" w:rsidP="004F65EB">
      <w:pPr>
        <w:spacing w:before="240" w:after="240" w:line="340" w:lineRule="exact"/>
        <w:ind w:left="426" w:firstLine="708"/>
        <w:jc w:val="both"/>
        <w:rPr>
          <w:rFonts w:ascii="Times New Roman" w:hAnsi="Times New Roman" w:cs="Times New Roman"/>
          <w:sz w:val="24"/>
          <w:szCs w:val="24"/>
        </w:rPr>
      </w:pPr>
      <w:r w:rsidRPr="004F65EB">
        <w:rPr>
          <w:rFonts w:ascii="Times New Roman" w:hAnsi="Times New Roman" w:cs="Times New Roman"/>
          <w:sz w:val="24"/>
          <w:szCs w:val="24"/>
        </w:rPr>
        <w:t>Sin otro particular, le saludo muy atentamente,</w:t>
      </w:r>
    </w:p>
    <w:p w:rsidR="004F65EB" w:rsidRPr="004F65EB" w:rsidRDefault="004F65EB" w:rsidP="004F65EB">
      <w:pPr>
        <w:spacing w:before="240" w:after="240" w:line="340" w:lineRule="exact"/>
        <w:jc w:val="both"/>
        <w:rPr>
          <w:rFonts w:ascii="Times New Roman" w:hAnsi="Times New Roman" w:cs="Times New Roman"/>
          <w:sz w:val="24"/>
          <w:szCs w:val="24"/>
        </w:rPr>
      </w:pPr>
    </w:p>
    <w:p w:rsidR="004F65EB" w:rsidRPr="004F65EB" w:rsidRDefault="004F65EB" w:rsidP="004F65EB">
      <w:pPr>
        <w:spacing w:before="240" w:after="240" w:line="340" w:lineRule="exact"/>
        <w:jc w:val="both"/>
        <w:rPr>
          <w:rFonts w:ascii="Times New Roman" w:hAnsi="Times New Roman" w:cs="Times New Roman"/>
          <w:sz w:val="24"/>
          <w:szCs w:val="24"/>
        </w:rPr>
      </w:pPr>
    </w:p>
    <w:p w:rsidR="004F65EB" w:rsidRPr="004F65EB" w:rsidRDefault="004F65EB" w:rsidP="004F65EB">
      <w:pPr>
        <w:spacing w:before="240" w:after="240" w:line="340" w:lineRule="exact"/>
        <w:jc w:val="both"/>
        <w:rPr>
          <w:rFonts w:ascii="Times New Roman" w:hAnsi="Times New Roman" w:cs="Times New Roman"/>
          <w:sz w:val="24"/>
          <w:szCs w:val="24"/>
        </w:rPr>
      </w:pPr>
    </w:p>
    <w:p w:rsidR="004F65EB" w:rsidRPr="004F65EB" w:rsidRDefault="004F65EB" w:rsidP="004F65EB">
      <w:pPr>
        <w:spacing w:before="240" w:after="240" w:line="340" w:lineRule="exact"/>
        <w:jc w:val="center"/>
        <w:rPr>
          <w:rFonts w:ascii="Times New Roman" w:hAnsi="Times New Roman" w:cs="Times New Roman"/>
          <w:sz w:val="24"/>
          <w:szCs w:val="24"/>
        </w:rPr>
      </w:pPr>
      <w:r w:rsidRPr="004F65EB">
        <w:rPr>
          <w:rFonts w:ascii="Times New Roman" w:hAnsi="Times New Roman" w:cs="Times New Roman"/>
          <w:sz w:val="24"/>
          <w:szCs w:val="24"/>
        </w:rPr>
        <w:t>Dr. Luis Castillo Córdova</w:t>
      </w:r>
    </w:p>
    <w:p w:rsidR="004F65EB" w:rsidRDefault="004F65EB">
      <w:pPr>
        <w:rPr>
          <w:rFonts w:ascii="Times New Roman" w:hAnsi="Times New Roman" w:cs="Times New Roman"/>
          <w:b/>
          <w:sz w:val="24"/>
          <w:szCs w:val="24"/>
        </w:rPr>
      </w:pPr>
    </w:p>
    <w:p w:rsidR="004F65EB" w:rsidRDefault="004F65EB">
      <w:pPr>
        <w:rPr>
          <w:rFonts w:ascii="Times New Roman" w:hAnsi="Times New Roman" w:cs="Times New Roman"/>
          <w:b/>
          <w:sz w:val="24"/>
          <w:szCs w:val="24"/>
        </w:rPr>
      </w:pPr>
      <w:r>
        <w:rPr>
          <w:rFonts w:ascii="Times New Roman" w:hAnsi="Times New Roman" w:cs="Times New Roman"/>
          <w:b/>
          <w:sz w:val="24"/>
          <w:szCs w:val="24"/>
        </w:rPr>
        <w:br w:type="page"/>
      </w:r>
    </w:p>
    <w:p w:rsidR="00991CF8" w:rsidRPr="00C56FBE" w:rsidRDefault="00F5490A" w:rsidP="00F5490A">
      <w:pPr>
        <w:pStyle w:val="Prrafodelista"/>
        <w:spacing w:before="120" w:after="120" w:line="320" w:lineRule="exact"/>
        <w:ind w:left="36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RAZONES PARA SOSTENER LA INCONSTITUCIONALIDAD DEL </w:t>
      </w:r>
      <w:r w:rsidR="00400F4D">
        <w:rPr>
          <w:rFonts w:ascii="Times New Roman" w:hAnsi="Times New Roman" w:cs="Times New Roman"/>
          <w:b/>
          <w:sz w:val="24"/>
          <w:szCs w:val="24"/>
        </w:rPr>
        <w:t>AL</w:t>
      </w:r>
      <w:r w:rsidR="006C13F0">
        <w:rPr>
          <w:rFonts w:ascii="Times New Roman" w:hAnsi="Times New Roman" w:cs="Times New Roman"/>
          <w:b/>
          <w:sz w:val="24"/>
          <w:szCs w:val="24"/>
        </w:rPr>
        <w:t>L</w:t>
      </w:r>
      <w:r w:rsidR="00400F4D">
        <w:rPr>
          <w:rFonts w:ascii="Times New Roman" w:hAnsi="Times New Roman" w:cs="Times New Roman"/>
          <w:b/>
          <w:sz w:val="24"/>
          <w:szCs w:val="24"/>
        </w:rPr>
        <w:t xml:space="preserve">ANAMIENTO AL </w:t>
      </w:r>
      <w:r>
        <w:rPr>
          <w:rFonts w:ascii="Times New Roman" w:hAnsi="Times New Roman" w:cs="Times New Roman"/>
          <w:b/>
          <w:sz w:val="24"/>
          <w:szCs w:val="24"/>
        </w:rPr>
        <w:t>ESTUDIO ORÉ GUARDIA</w:t>
      </w:r>
    </w:p>
    <w:p w:rsidR="002C5DAF" w:rsidRPr="00C56FBE" w:rsidRDefault="002C5DAF" w:rsidP="00C97E04">
      <w:pPr>
        <w:spacing w:before="120" w:after="120" w:line="320" w:lineRule="exact"/>
        <w:ind w:left="360"/>
        <w:jc w:val="both"/>
        <w:rPr>
          <w:rFonts w:ascii="Times New Roman" w:hAnsi="Times New Roman" w:cs="Times New Roman"/>
          <w:sz w:val="24"/>
          <w:szCs w:val="24"/>
        </w:rPr>
      </w:pPr>
    </w:p>
    <w:p w:rsidR="00E90FC7" w:rsidRPr="00C56FBE" w:rsidRDefault="00BF2AC2" w:rsidP="00C97E04">
      <w:pPr>
        <w:spacing w:before="120" w:after="120" w:line="320" w:lineRule="exact"/>
        <w:jc w:val="both"/>
        <w:rPr>
          <w:rFonts w:ascii="Times New Roman" w:hAnsi="Times New Roman" w:cs="Times New Roman"/>
          <w:b/>
          <w:sz w:val="24"/>
          <w:szCs w:val="24"/>
        </w:rPr>
      </w:pPr>
      <w:r w:rsidRPr="00C56FBE">
        <w:rPr>
          <w:rFonts w:ascii="Times New Roman" w:hAnsi="Times New Roman" w:cs="Times New Roman"/>
          <w:b/>
          <w:sz w:val="24"/>
          <w:szCs w:val="24"/>
        </w:rPr>
        <w:t xml:space="preserve">I. </w:t>
      </w:r>
      <w:r w:rsidR="0066702B" w:rsidRPr="0066702B">
        <w:rPr>
          <w:rFonts w:ascii="Times New Roman" w:hAnsi="Times New Roman" w:cs="Times New Roman"/>
          <w:b/>
          <w:smallCaps/>
          <w:sz w:val="24"/>
          <w:szCs w:val="24"/>
        </w:rPr>
        <w:t>Hechos</w:t>
      </w:r>
    </w:p>
    <w:p w:rsidR="00E90FC7" w:rsidRPr="00C56FBE" w:rsidRDefault="0007211D"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E</w:t>
      </w:r>
      <w:r w:rsidR="00B14DC2" w:rsidRPr="00C56FBE">
        <w:rPr>
          <w:rFonts w:ascii="Times New Roman" w:hAnsi="Times New Roman" w:cs="Times New Roman"/>
          <w:sz w:val="24"/>
          <w:szCs w:val="24"/>
        </w:rPr>
        <w:t>l 29 de diciembre del 2015</w:t>
      </w:r>
      <w:r w:rsidR="00076310" w:rsidRPr="00C56FBE">
        <w:rPr>
          <w:rFonts w:ascii="Times New Roman" w:hAnsi="Times New Roman" w:cs="Times New Roman"/>
          <w:sz w:val="24"/>
          <w:szCs w:val="24"/>
        </w:rPr>
        <w:t>, la</w:t>
      </w:r>
      <w:r w:rsidR="00B14DC2" w:rsidRPr="00C56FBE">
        <w:rPr>
          <w:rFonts w:ascii="Times New Roman" w:hAnsi="Times New Roman" w:cs="Times New Roman"/>
          <w:sz w:val="24"/>
          <w:szCs w:val="24"/>
        </w:rPr>
        <w:t xml:space="preserve"> señora Keiko Fujimori Higuchi </w:t>
      </w:r>
      <w:r w:rsidRPr="00C56FBE">
        <w:rPr>
          <w:rFonts w:ascii="Times New Roman" w:hAnsi="Times New Roman" w:cs="Times New Roman"/>
          <w:sz w:val="24"/>
          <w:szCs w:val="24"/>
        </w:rPr>
        <w:t>designa a los abogados</w:t>
      </w:r>
      <w:r w:rsidR="00B14DC2" w:rsidRPr="00C56FBE">
        <w:rPr>
          <w:rFonts w:ascii="Times New Roman" w:hAnsi="Times New Roman" w:cs="Times New Roman"/>
          <w:sz w:val="24"/>
          <w:szCs w:val="24"/>
        </w:rPr>
        <w:t xml:space="preserve"> </w:t>
      </w:r>
      <w:r w:rsidRPr="00C56FBE">
        <w:rPr>
          <w:rFonts w:ascii="Times New Roman" w:hAnsi="Times New Roman" w:cs="Times New Roman"/>
          <w:sz w:val="24"/>
          <w:szCs w:val="24"/>
        </w:rPr>
        <w:t xml:space="preserve">Arsenio Oré Guardia </w:t>
      </w:r>
      <w:r w:rsidR="00B14DC2" w:rsidRPr="00C56FBE">
        <w:rPr>
          <w:rFonts w:ascii="Times New Roman" w:hAnsi="Times New Roman" w:cs="Times New Roman"/>
          <w:sz w:val="24"/>
          <w:szCs w:val="24"/>
        </w:rPr>
        <w:t>y al doctor Edward García Navarro</w:t>
      </w:r>
      <w:r w:rsidR="00A14D95" w:rsidRPr="00C56FBE">
        <w:rPr>
          <w:rFonts w:ascii="Times New Roman" w:hAnsi="Times New Roman" w:cs="Times New Roman"/>
          <w:sz w:val="24"/>
          <w:szCs w:val="24"/>
        </w:rPr>
        <w:t>,</w:t>
      </w:r>
      <w:r w:rsidR="00B14DC2" w:rsidRPr="00C56FBE">
        <w:rPr>
          <w:rFonts w:ascii="Times New Roman" w:hAnsi="Times New Roman" w:cs="Times New Roman"/>
          <w:sz w:val="24"/>
          <w:szCs w:val="24"/>
        </w:rPr>
        <w:t xml:space="preserve"> como </w:t>
      </w:r>
      <w:r w:rsidRPr="00C56FBE">
        <w:rPr>
          <w:rFonts w:ascii="Times New Roman" w:hAnsi="Times New Roman" w:cs="Times New Roman"/>
          <w:sz w:val="24"/>
          <w:szCs w:val="24"/>
        </w:rPr>
        <w:t xml:space="preserve">sus </w:t>
      </w:r>
      <w:r w:rsidR="00076310" w:rsidRPr="00C56FBE">
        <w:rPr>
          <w:rFonts w:ascii="Times New Roman" w:hAnsi="Times New Roman" w:cs="Times New Roman"/>
          <w:sz w:val="24"/>
          <w:szCs w:val="24"/>
        </w:rPr>
        <w:t xml:space="preserve">abogados </w:t>
      </w:r>
      <w:r w:rsidR="00400F4D">
        <w:rPr>
          <w:rFonts w:ascii="Times New Roman" w:hAnsi="Times New Roman" w:cs="Times New Roman"/>
          <w:sz w:val="24"/>
          <w:szCs w:val="24"/>
        </w:rPr>
        <w:t>en la carpeta fiscal</w:t>
      </w:r>
      <w:r w:rsidRPr="00C56FBE">
        <w:rPr>
          <w:rFonts w:ascii="Times New Roman" w:hAnsi="Times New Roman" w:cs="Times New Roman"/>
          <w:sz w:val="24"/>
          <w:szCs w:val="24"/>
        </w:rPr>
        <w:t xml:space="preserve"> 193</w:t>
      </w:r>
      <w:r w:rsidR="00BB774A">
        <w:rPr>
          <w:rFonts w:ascii="Times New Roman" w:hAnsi="Times New Roman" w:cs="Times New Roman"/>
          <w:sz w:val="24"/>
          <w:szCs w:val="24"/>
        </w:rPr>
        <w:t>–</w:t>
      </w:r>
      <w:r w:rsidRPr="00C56FBE">
        <w:rPr>
          <w:rFonts w:ascii="Times New Roman" w:hAnsi="Times New Roman" w:cs="Times New Roman"/>
          <w:sz w:val="24"/>
          <w:szCs w:val="24"/>
        </w:rPr>
        <w:t>2015 (ahora 80</w:t>
      </w:r>
      <w:r w:rsidR="00BB774A">
        <w:rPr>
          <w:rFonts w:ascii="Times New Roman" w:hAnsi="Times New Roman" w:cs="Times New Roman"/>
          <w:sz w:val="24"/>
          <w:szCs w:val="24"/>
        </w:rPr>
        <w:t>–</w:t>
      </w:r>
      <w:r w:rsidRPr="00C56FBE">
        <w:rPr>
          <w:rFonts w:ascii="Times New Roman" w:hAnsi="Times New Roman" w:cs="Times New Roman"/>
          <w:sz w:val="24"/>
          <w:szCs w:val="24"/>
        </w:rPr>
        <w:t>2016)</w:t>
      </w:r>
      <w:r w:rsidR="00076310" w:rsidRPr="00C56FBE">
        <w:rPr>
          <w:rFonts w:ascii="Times New Roman" w:hAnsi="Times New Roman" w:cs="Times New Roman"/>
          <w:sz w:val="24"/>
          <w:szCs w:val="24"/>
        </w:rPr>
        <w:t>.</w:t>
      </w:r>
      <w:r w:rsidR="000944FF" w:rsidRPr="00C56FBE">
        <w:rPr>
          <w:rFonts w:ascii="Times New Roman" w:hAnsi="Times New Roman" w:cs="Times New Roman"/>
          <w:sz w:val="24"/>
          <w:szCs w:val="24"/>
        </w:rPr>
        <w:t xml:space="preserve"> </w:t>
      </w:r>
    </w:p>
    <w:p w:rsidR="00E90FC7" w:rsidRPr="00C56FBE" w:rsidRDefault="00E90FC7"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 xml:space="preserve">El </w:t>
      </w:r>
      <w:r w:rsidR="000944FF" w:rsidRPr="00C56FBE">
        <w:rPr>
          <w:rFonts w:ascii="Times New Roman" w:hAnsi="Times New Roman" w:cs="Times New Roman"/>
          <w:sz w:val="24"/>
          <w:szCs w:val="24"/>
        </w:rPr>
        <w:t>6 de abril de 2016, la señora Keiko Sofía Fujimori Higuchi apersonó a los abogados Arsenio Oré Guardia y Edward García Navarro en la carpeta fiscal 12</w:t>
      </w:r>
      <w:r w:rsidR="00BB774A">
        <w:rPr>
          <w:rFonts w:ascii="Times New Roman" w:hAnsi="Times New Roman" w:cs="Times New Roman"/>
          <w:sz w:val="24"/>
          <w:szCs w:val="24"/>
        </w:rPr>
        <w:t>–</w:t>
      </w:r>
      <w:r w:rsidR="000944FF" w:rsidRPr="00C56FBE">
        <w:rPr>
          <w:rFonts w:ascii="Times New Roman" w:hAnsi="Times New Roman" w:cs="Times New Roman"/>
          <w:sz w:val="24"/>
          <w:szCs w:val="24"/>
        </w:rPr>
        <w:t xml:space="preserve">2016. </w:t>
      </w:r>
    </w:p>
    <w:p w:rsidR="00952C49" w:rsidRPr="00C56FBE" w:rsidRDefault="00E90FC7"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E</w:t>
      </w:r>
      <w:r w:rsidR="000944FF" w:rsidRPr="00C56FBE">
        <w:rPr>
          <w:rFonts w:ascii="Times New Roman" w:hAnsi="Times New Roman" w:cs="Times New Roman"/>
          <w:sz w:val="24"/>
          <w:szCs w:val="24"/>
        </w:rPr>
        <w:t>l 29 de agosto de 2017</w:t>
      </w:r>
      <w:r w:rsidR="00AE3138" w:rsidRPr="00C56FBE">
        <w:rPr>
          <w:rFonts w:ascii="Times New Roman" w:hAnsi="Times New Roman" w:cs="Times New Roman"/>
          <w:sz w:val="24"/>
          <w:szCs w:val="24"/>
        </w:rPr>
        <w:t>, la señora Keiko Sofía Fujimori Higuchi apersonó a los abogados Arsenio Oré Guardia y Edward García Navarro en la carpeta fiscal 55</w:t>
      </w:r>
      <w:r w:rsidR="00BB774A">
        <w:rPr>
          <w:rFonts w:ascii="Times New Roman" w:hAnsi="Times New Roman" w:cs="Times New Roman"/>
          <w:sz w:val="24"/>
          <w:szCs w:val="24"/>
        </w:rPr>
        <w:t>–</w:t>
      </w:r>
      <w:r w:rsidR="00AE3138" w:rsidRPr="00C56FBE">
        <w:rPr>
          <w:rFonts w:ascii="Times New Roman" w:hAnsi="Times New Roman" w:cs="Times New Roman"/>
          <w:sz w:val="24"/>
          <w:szCs w:val="24"/>
        </w:rPr>
        <w:t>2017.</w:t>
      </w:r>
    </w:p>
    <w:p w:rsidR="00047F75" w:rsidRPr="00C56FBE" w:rsidRDefault="00AE3138"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En todos es</w:t>
      </w:r>
      <w:r w:rsidR="00E90FC7" w:rsidRPr="00C56FBE">
        <w:rPr>
          <w:rFonts w:ascii="Times New Roman" w:hAnsi="Times New Roman" w:cs="Times New Roman"/>
          <w:sz w:val="24"/>
          <w:szCs w:val="24"/>
        </w:rPr>
        <w:t>t</w:t>
      </w:r>
      <w:r w:rsidRPr="00C56FBE">
        <w:rPr>
          <w:rFonts w:ascii="Times New Roman" w:hAnsi="Times New Roman" w:cs="Times New Roman"/>
          <w:sz w:val="24"/>
          <w:szCs w:val="24"/>
        </w:rPr>
        <w:t>os</w:t>
      </w:r>
      <w:r w:rsidR="00E90FC7" w:rsidRPr="00C56FBE">
        <w:rPr>
          <w:rFonts w:ascii="Times New Roman" w:hAnsi="Times New Roman" w:cs="Times New Roman"/>
          <w:sz w:val="24"/>
          <w:szCs w:val="24"/>
        </w:rPr>
        <w:t xml:space="preserve"> casos, los abogados del Estudio fueron abogados </w:t>
      </w:r>
      <w:r w:rsidRPr="00C56FBE">
        <w:rPr>
          <w:rFonts w:ascii="Times New Roman" w:hAnsi="Times New Roman" w:cs="Times New Roman"/>
          <w:sz w:val="24"/>
          <w:szCs w:val="24"/>
        </w:rPr>
        <w:t xml:space="preserve">de la señora Keiko Sofía Fujimori Higuchi hasta </w:t>
      </w:r>
      <w:r w:rsidR="00155715" w:rsidRPr="00C56FBE">
        <w:rPr>
          <w:rFonts w:ascii="Times New Roman" w:hAnsi="Times New Roman" w:cs="Times New Roman"/>
          <w:sz w:val="24"/>
          <w:szCs w:val="24"/>
        </w:rPr>
        <w:t xml:space="preserve">el 19 de diciembre </w:t>
      </w:r>
      <w:r w:rsidRPr="00C56FBE">
        <w:rPr>
          <w:rFonts w:ascii="Times New Roman" w:hAnsi="Times New Roman" w:cs="Times New Roman"/>
          <w:sz w:val="24"/>
          <w:szCs w:val="24"/>
        </w:rPr>
        <w:t>del 2017</w:t>
      </w:r>
      <w:r w:rsidR="00E90FC7" w:rsidRPr="00C56FBE">
        <w:rPr>
          <w:rFonts w:ascii="Times New Roman" w:hAnsi="Times New Roman" w:cs="Times New Roman"/>
          <w:sz w:val="24"/>
          <w:szCs w:val="24"/>
        </w:rPr>
        <w:t>.</w:t>
      </w:r>
    </w:p>
    <w:p w:rsidR="00047F75" w:rsidRPr="00C56FBE" w:rsidRDefault="00E90FC7"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El 19 de noviembre de 20</w:t>
      </w:r>
      <w:r w:rsidR="00047F75" w:rsidRPr="00C56FBE">
        <w:rPr>
          <w:rFonts w:ascii="Times New Roman" w:hAnsi="Times New Roman" w:cs="Times New Roman"/>
          <w:sz w:val="24"/>
          <w:szCs w:val="24"/>
        </w:rPr>
        <w:t>18, a requerimiento</w:t>
      </w:r>
      <w:r w:rsidR="007C6027">
        <w:rPr>
          <w:rFonts w:ascii="Times New Roman" w:hAnsi="Times New Roman" w:cs="Times New Roman"/>
          <w:sz w:val="24"/>
          <w:szCs w:val="24"/>
        </w:rPr>
        <w:t xml:space="preserve"> del Fiscal</w:t>
      </w:r>
      <w:r w:rsidR="00047F75" w:rsidRPr="00C56FBE">
        <w:rPr>
          <w:rFonts w:ascii="Times New Roman" w:hAnsi="Times New Roman" w:cs="Times New Roman"/>
          <w:sz w:val="24"/>
          <w:szCs w:val="24"/>
        </w:rPr>
        <w:t xml:space="preserve">, </w:t>
      </w:r>
      <w:r w:rsidRPr="00C56FBE">
        <w:rPr>
          <w:rFonts w:ascii="Times New Roman" w:hAnsi="Times New Roman" w:cs="Times New Roman"/>
          <w:sz w:val="24"/>
          <w:szCs w:val="24"/>
        </w:rPr>
        <w:t>el juez del Primer Juzgado de Investigación Preparatoria, autorizó el allanamiento</w:t>
      </w:r>
      <w:r w:rsidR="00047F75" w:rsidRPr="00C56FBE">
        <w:rPr>
          <w:rFonts w:ascii="Times New Roman" w:hAnsi="Times New Roman" w:cs="Times New Roman"/>
          <w:sz w:val="24"/>
          <w:szCs w:val="24"/>
        </w:rPr>
        <w:t xml:space="preserve"> con descerraje del</w:t>
      </w:r>
      <w:r w:rsidR="004548FC" w:rsidRPr="00C56FBE">
        <w:rPr>
          <w:rFonts w:ascii="Times New Roman" w:hAnsi="Times New Roman" w:cs="Times New Roman"/>
          <w:sz w:val="24"/>
          <w:szCs w:val="24"/>
        </w:rPr>
        <w:t xml:space="preserve"> inmueble del Estudio Oré Guar</w:t>
      </w:r>
      <w:r w:rsidR="00400F4D">
        <w:rPr>
          <w:rFonts w:ascii="Times New Roman" w:hAnsi="Times New Roman" w:cs="Times New Roman"/>
          <w:sz w:val="24"/>
          <w:szCs w:val="24"/>
        </w:rPr>
        <w:t>dia (ubicado en calle Dalton</w:t>
      </w:r>
      <w:r w:rsidR="004548FC" w:rsidRPr="00C56FBE">
        <w:rPr>
          <w:rFonts w:ascii="Times New Roman" w:hAnsi="Times New Roman" w:cs="Times New Roman"/>
          <w:sz w:val="24"/>
          <w:szCs w:val="24"/>
        </w:rPr>
        <w:t xml:space="preserve"> 229, San Borja). </w:t>
      </w:r>
      <w:r w:rsidR="007C6027">
        <w:rPr>
          <w:rFonts w:ascii="Times New Roman" w:hAnsi="Times New Roman" w:cs="Times New Roman"/>
          <w:sz w:val="24"/>
          <w:szCs w:val="24"/>
        </w:rPr>
        <w:t>Esto lo hizo mediante la Resolución número 1, auto de al</w:t>
      </w:r>
      <w:r w:rsidR="00400F4D">
        <w:rPr>
          <w:rFonts w:ascii="Times New Roman" w:hAnsi="Times New Roman" w:cs="Times New Roman"/>
          <w:sz w:val="24"/>
          <w:szCs w:val="24"/>
        </w:rPr>
        <w:t>l</w:t>
      </w:r>
      <w:r w:rsidR="007C6027">
        <w:rPr>
          <w:rFonts w:ascii="Times New Roman" w:hAnsi="Times New Roman" w:cs="Times New Roman"/>
          <w:sz w:val="24"/>
          <w:szCs w:val="24"/>
        </w:rPr>
        <w:t>anamiento.</w:t>
      </w:r>
    </w:p>
    <w:p w:rsidR="001A11AA" w:rsidRPr="00C56FBE" w:rsidRDefault="00047F75"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El 20 de noviembre, el Primer Despacho de la Fiscalía Supraprovincial corporativa especializada en delitos de corrupción de funcionarios, ejecutó la medida de allanamiento.</w:t>
      </w:r>
      <w:r w:rsidR="007C6027">
        <w:rPr>
          <w:rFonts w:ascii="Times New Roman" w:hAnsi="Times New Roman" w:cs="Times New Roman"/>
          <w:sz w:val="24"/>
          <w:szCs w:val="24"/>
        </w:rPr>
        <w:t xml:space="preserve"> Durante la ejecución s</w:t>
      </w:r>
      <w:r w:rsidR="001A11AA" w:rsidRPr="00C56FBE">
        <w:rPr>
          <w:rFonts w:ascii="Times New Roman" w:hAnsi="Times New Roman" w:cs="Times New Roman"/>
          <w:sz w:val="24"/>
          <w:szCs w:val="24"/>
        </w:rPr>
        <w:t>e informó al Dr. Arsenio Oré Guardia que el objetivo de la diligencia era revisar la documentación contable y administrativa, por lo que se comunicó al fiscal que dicha información se encontraba en la empresa de Asesoría Contable y Empresarial Mansilla S. A. (ACEMSA)</w:t>
      </w:r>
      <w:r w:rsidR="009157E0" w:rsidRPr="00C56FBE">
        <w:rPr>
          <w:rFonts w:ascii="Times New Roman" w:hAnsi="Times New Roman" w:cs="Times New Roman"/>
          <w:sz w:val="24"/>
          <w:szCs w:val="24"/>
        </w:rPr>
        <w:t>, ubicada en el inmueble aledaño calle Dalton 237, San Borja</w:t>
      </w:r>
      <w:r w:rsidR="001A11AA" w:rsidRPr="00C56FBE">
        <w:rPr>
          <w:rFonts w:ascii="Times New Roman" w:hAnsi="Times New Roman" w:cs="Times New Roman"/>
          <w:sz w:val="24"/>
          <w:szCs w:val="24"/>
        </w:rPr>
        <w:t>.</w:t>
      </w:r>
    </w:p>
    <w:p w:rsidR="007C6027" w:rsidRDefault="001A11AA"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El Dr. Arsenio Oré solicitó a ACEMSA el acceso a la información contable del Estudio, a lo que se accedió. No obstante, ese mismo día</w:t>
      </w:r>
      <w:r w:rsidR="009157E0" w:rsidRPr="00C56FBE">
        <w:rPr>
          <w:rFonts w:ascii="Times New Roman" w:hAnsi="Times New Roman" w:cs="Times New Roman"/>
          <w:sz w:val="24"/>
          <w:szCs w:val="24"/>
        </w:rPr>
        <w:t>, y cuando el equipo fiscal se encontraba dentro del local revisando la información contable</w:t>
      </w:r>
      <w:r w:rsidRPr="00C56FBE">
        <w:rPr>
          <w:rFonts w:ascii="Times New Roman" w:hAnsi="Times New Roman" w:cs="Times New Roman"/>
          <w:sz w:val="24"/>
          <w:szCs w:val="24"/>
        </w:rPr>
        <w:t>, el mencionado despacho fiscal requirió ampliación de la medida de allanamiento, para el inmueble ubicado en la Calle Dalton 237, San Borja</w:t>
      </w:r>
      <w:r w:rsidR="009157E0" w:rsidRPr="00C56FBE">
        <w:rPr>
          <w:rFonts w:ascii="Times New Roman" w:hAnsi="Times New Roman" w:cs="Times New Roman"/>
          <w:sz w:val="24"/>
          <w:szCs w:val="24"/>
        </w:rPr>
        <w:t>.</w:t>
      </w:r>
      <w:r w:rsidR="007C6027">
        <w:rPr>
          <w:rFonts w:ascii="Times New Roman" w:hAnsi="Times New Roman" w:cs="Times New Roman"/>
          <w:sz w:val="24"/>
          <w:szCs w:val="24"/>
        </w:rPr>
        <w:t xml:space="preserve"> Esta ampliación es acogida mediante la Resolución número 2, auto de ampliación de la medida de allanamiento.</w:t>
      </w:r>
    </w:p>
    <w:p w:rsidR="00A83DD2" w:rsidRPr="00937279" w:rsidRDefault="00A83DD2" w:rsidP="00C97E04">
      <w:pPr>
        <w:spacing w:before="120" w:after="120" w:line="320" w:lineRule="exact"/>
        <w:jc w:val="both"/>
        <w:rPr>
          <w:rFonts w:ascii="Times New Roman" w:hAnsi="Times New Roman" w:cs="Times New Roman"/>
          <w:sz w:val="24"/>
          <w:szCs w:val="24"/>
        </w:rPr>
      </w:pPr>
    </w:p>
    <w:p w:rsidR="007C6027" w:rsidRPr="007C6027" w:rsidRDefault="007C6027" w:rsidP="00C97E04">
      <w:pPr>
        <w:spacing w:before="120" w:after="120" w:line="320" w:lineRule="exact"/>
        <w:jc w:val="both"/>
        <w:rPr>
          <w:rFonts w:ascii="Times New Roman" w:hAnsi="Times New Roman" w:cs="Times New Roman"/>
          <w:b/>
          <w:smallCaps/>
          <w:sz w:val="24"/>
          <w:szCs w:val="24"/>
        </w:rPr>
      </w:pPr>
      <w:r w:rsidRPr="007C6027">
        <w:rPr>
          <w:rFonts w:ascii="Times New Roman" w:hAnsi="Times New Roman" w:cs="Times New Roman"/>
          <w:b/>
          <w:smallCaps/>
          <w:sz w:val="24"/>
          <w:szCs w:val="24"/>
        </w:rPr>
        <w:t>II. Planteamiento de la cuestión jurídica</w:t>
      </w:r>
    </w:p>
    <w:p w:rsidR="00F5490A" w:rsidRDefault="00F5490A" w:rsidP="00C97E04">
      <w:pPr>
        <w:spacing w:before="120" w:after="120" w:line="320" w:lineRule="exact"/>
        <w:jc w:val="both"/>
        <w:rPr>
          <w:rFonts w:ascii="Times New Roman" w:hAnsi="Times New Roman" w:cs="Times New Roman"/>
          <w:sz w:val="24"/>
          <w:szCs w:val="24"/>
        </w:rPr>
      </w:pPr>
      <w:r>
        <w:rPr>
          <w:rFonts w:ascii="Times New Roman" w:hAnsi="Times New Roman" w:cs="Times New Roman"/>
          <w:sz w:val="24"/>
          <w:szCs w:val="24"/>
        </w:rPr>
        <w:t xml:space="preserve">Con base en estos hechos, a continuación se responderá a la siguiente cuestión jurídica: ¿es posible mostrar razones para sostener la validez constitucional del mandato de allanamiento del Estudio Oré Guardia? Por desgracia, y como se justificará inmediatamente, hay razones, y además fuertes, para afirmar que tanto el Juez que ordena </w:t>
      </w:r>
      <w:r>
        <w:rPr>
          <w:rFonts w:ascii="Times New Roman" w:hAnsi="Times New Roman" w:cs="Times New Roman"/>
          <w:sz w:val="24"/>
          <w:szCs w:val="24"/>
        </w:rPr>
        <w:lastRenderedPageBreak/>
        <w:t>el al</w:t>
      </w:r>
      <w:r w:rsidR="0066702B">
        <w:rPr>
          <w:rFonts w:ascii="Times New Roman" w:hAnsi="Times New Roman" w:cs="Times New Roman"/>
          <w:sz w:val="24"/>
          <w:szCs w:val="24"/>
        </w:rPr>
        <w:t>lanamiento como el fiscal que lo</w:t>
      </w:r>
      <w:r>
        <w:rPr>
          <w:rFonts w:ascii="Times New Roman" w:hAnsi="Times New Roman" w:cs="Times New Roman"/>
          <w:sz w:val="24"/>
          <w:szCs w:val="24"/>
        </w:rPr>
        <w:t xml:space="preserve"> ejecuta, han incurrido en excesos que jurídicamente han significado </w:t>
      </w:r>
      <w:r w:rsidR="0066702B">
        <w:rPr>
          <w:rFonts w:ascii="Times New Roman" w:hAnsi="Times New Roman" w:cs="Times New Roman"/>
          <w:sz w:val="24"/>
          <w:szCs w:val="24"/>
        </w:rPr>
        <w:t xml:space="preserve">inconstitucionalidades por </w:t>
      </w:r>
      <w:r>
        <w:rPr>
          <w:rFonts w:ascii="Times New Roman" w:hAnsi="Times New Roman" w:cs="Times New Roman"/>
          <w:sz w:val="24"/>
          <w:szCs w:val="24"/>
        </w:rPr>
        <w:t>vulneración de derechos fundamentales.</w:t>
      </w:r>
    </w:p>
    <w:p w:rsidR="00BF2AC2" w:rsidRPr="00C56FBE" w:rsidRDefault="00F5490A" w:rsidP="00C97E04">
      <w:pPr>
        <w:spacing w:before="120" w:after="120" w:line="320" w:lineRule="exact"/>
        <w:jc w:val="both"/>
        <w:rPr>
          <w:rFonts w:ascii="Times New Roman" w:hAnsi="Times New Roman" w:cs="Times New Roman"/>
          <w:sz w:val="24"/>
          <w:szCs w:val="24"/>
        </w:rPr>
      </w:pPr>
      <w:r>
        <w:rPr>
          <w:rFonts w:ascii="Times New Roman" w:hAnsi="Times New Roman" w:cs="Times New Roman"/>
          <w:sz w:val="24"/>
          <w:szCs w:val="24"/>
        </w:rPr>
        <w:t>Antes de pasar a desarrollar y justificar esta afirmación</w:t>
      </w:r>
      <w:r w:rsidR="007C6027">
        <w:rPr>
          <w:rFonts w:ascii="Times New Roman" w:hAnsi="Times New Roman" w:cs="Times New Roman"/>
          <w:sz w:val="24"/>
          <w:szCs w:val="24"/>
        </w:rPr>
        <w:t xml:space="preserve">, es necesario advertir lo siguiente. La Resolución número 1 de allanamiento y la Resolución número 2 de ampliación, tienen exactamente los mismos fundamentos. Solo varía </w:t>
      </w:r>
      <w:r w:rsidR="0066702B">
        <w:rPr>
          <w:rFonts w:ascii="Times New Roman" w:hAnsi="Times New Roman" w:cs="Times New Roman"/>
          <w:sz w:val="24"/>
          <w:szCs w:val="24"/>
        </w:rPr>
        <w:t xml:space="preserve">en </w:t>
      </w:r>
      <w:r w:rsidR="007C6027">
        <w:rPr>
          <w:rFonts w:ascii="Times New Roman" w:hAnsi="Times New Roman" w:cs="Times New Roman"/>
          <w:sz w:val="24"/>
          <w:szCs w:val="24"/>
        </w:rPr>
        <w:t>que la segunda</w:t>
      </w:r>
      <w:r w:rsidR="0066702B">
        <w:rPr>
          <w:rFonts w:ascii="Times New Roman" w:hAnsi="Times New Roman" w:cs="Times New Roman"/>
          <w:sz w:val="24"/>
          <w:szCs w:val="24"/>
        </w:rPr>
        <w:t xml:space="preserve"> de ellas</w:t>
      </w:r>
      <w:r w:rsidR="007C6027">
        <w:rPr>
          <w:rFonts w:ascii="Times New Roman" w:hAnsi="Times New Roman" w:cs="Times New Roman"/>
          <w:sz w:val="24"/>
          <w:szCs w:val="24"/>
        </w:rPr>
        <w:t xml:space="preserve"> tiene que incorporar el dato del inmueble al cual se extiende la autorización de allanamiento: Calle Dalton 237, San Borja. En las páginas siguientes se citará los fundamentos y número de página de la Resolución 2; pero eso mismo que se</w:t>
      </w:r>
      <w:r w:rsidR="0066702B">
        <w:rPr>
          <w:rFonts w:ascii="Times New Roman" w:hAnsi="Times New Roman" w:cs="Times New Roman"/>
          <w:sz w:val="24"/>
          <w:szCs w:val="24"/>
        </w:rPr>
        <w:t xml:space="preserve"> cite</w:t>
      </w:r>
      <w:r w:rsidR="007C6027">
        <w:rPr>
          <w:rFonts w:ascii="Times New Roman" w:hAnsi="Times New Roman" w:cs="Times New Roman"/>
          <w:sz w:val="24"/>
          <w:szCs w:val="24"/>
        </w:rPr>
        <w:t xml:space="preserve"> estará</w:t>
      </w:r>
      <w:r w:rsidR="0066702B">
        <w:rPr>
          <w:rFonts w:ascii="Times New Roman" w:hAnsi="Times New Roman" w:cs="Times New Roman"/>
          <w:sz w:val="24"/>
          <w:szCs w:val="24"/>
        </w:rPr>
        <w:t xml:space="preserve"> también recogido en la Resolución 1, </w:t>
      </w:r>
      <w:r w:rsidR="007C6027">
        <w:rPr>
          <w:rFonts w:ascii="Times New Roman" w:hAnsi="Times New Roman" w:cs="Times New Roman"/>
          <w:sz w:val="24"/>
          <w:szCs w:val="24"/>
        </w:rPr>
        <w:t>muy probablemente una página más</w:t>
      </w:r>
      <w:r w:rsidR="0066702B">
        <w:rPr>
          <w:rFonts w:ascii="Times New Roman" w:hAnsi="Times New Roman" w:cs="Times New Roman"/>
          <w:sz w:val="24"/>
          <w:szCs w:val="24"/>
        </w:rPr>
        <w:t xml:space="preserve"> adelante.</w:t>
      </w:r>
    </w:p>
    <w:p w:rsidR="00A83DD2" w:rsidRDefault="00A83DD2" w:rsidP="00C97E04">
      <w:pPr>
        <w:spacing w:before="120" w:after="120" w:line="320" w:lineRule="exact"/>
        <w:jc w:val="both"/>
        <w:rPr>
          <w:rFonts w:ascii="Times New Roman" w:hAnsi="Times New Roman" w:cs="Times New Roman"/>
          <w:b/>
          <w:smallCaps/>
          <w:sz w:val="24"/>
          <w:szCs w:val="24"/>
        </w:rPr>
      </w:pPr>
    </w:p>
    <w:p w:rsidR="00A960ED" w:rsidRPr="00C56FBE" w:rsidRDefault="005C1D66" w:rsidP="00C97E04">
      <w:pPr>
        <w:spacing w:before="120" w:after="120" w:line="320" w:lineRule="exact"/>
        <w:jc w:val="both"/>
        <w:rPr>
          <w:rFonts w:ascii="Times New Roman" w:hAnsi="Times New Roman" w:cs="Times New Roman"/>
          <w:b/>
          <w:smallCaps/>
          <w:sz w:val="24"/>
          <w:szCs w:val="24"/>
        </w:rPr>
      </w:pPr>
      <w:r w:rsidRPr="00C56FBE">
        <w:rPr>
          <w:rFonts w:ascii="Times New Roman" w:hAnsi="Times New Roman" w:cs="Times New Roman"/>
          <w:b/>
          <w:smallCaps/>
          <w:sz w:val="24"/>
          <w:szCs w:val="24"/>
        </w:rPr>
        <w:t>I</w:t>
      </w:r>
      <w:r w:rsidR="00BF2AC2" w:rsidRPr="00C56FBE">
        <w:rPr>
          <w:rFonts w:ascii="Times New Roman" w:hAnsi="Times New Roman" w:cs="Times New Roman"/>
          <w:b/>
          <w:smallCaps/>
          <w:sz w:val="24"/>
          <w:szCs w:val="24"/>
        </w:rPr>
        <w:t xml:space="preserve">II. </w:t>
      </w:r>
      <w:r w:rsidR="00A960ED" w:rsidRPr="00C56FBE">
        <w:rPr>
          <w:rFonts w:ascii="Times New Roman" w:hAnsi="Times New Roman" w:cs="Times New Roman"/>
          <w:b/>
          <w:smallCaps/>
          <w:sz w:val="24"/>
          <w:szCs w:val="24"/>
        </w:rPr>
        <w:t xml:space="preserve">Vulneración del contenido constitucional del derecho fundamental </w:t>
      </w:r>
      <w:r w:rsidR="00306894" w:rsidRPr="00C56FBE">
        <w:rPr>
          <w:rFonts w:ascii="Times New Roman" w:hAnsi="Times New Roman" w:cs="Times New Roman"/>
          <w:b/>
          <w:smallCaps/>
          <w:sz w:val="24"/>
          <w:szCs w:val="24"/>
        </w:rPr>
        <w:t>a la adecuada motivación de decisiones judiciales</w:t>
      </w:r>
    </w:p>
    <w:p w:rsidR="00BF2AC2" w:rsidRPr="00C56FBE" w:rsidRDefault="00BF2AC2" w:rsidP="00BF2AC2">
      <w:pPr>
        <w:spacing w:before="120" w:after="120" w:line="320" w:lineRule="exact"/>
        <w:jc w:val="both"/>
        <w:rPr>
          <w:rFonts w:ascii="Times New Roman" w:hAnsi="Times New Roman" w:cs="Times New Roman"/>
          <w:b/>
          <w:sz w:val="24"/>
          <w:szCs w:val="24"/>
        </w:rPr>
      </w:pPr>
      <w:r w:rsidRPr="00C56FBE">
        <w:rPr>
          <w:rFonts w:ascii="Times New Roman" w:hAnsi="Times New Roman" w:cs="Times New Roman"/>
          <w:b/>
          <w:sz w:val="24"/>
          <w:szCs w:val="24"/>
        </w:rPr>
        <w:t>1. Sobre el contenido constitucional</w:t>
      </w:r>
    </w:p>
    <w:p w:rsidR="007C6027" w:rsidRDefault="00306894" w:rsidP="00C97E04">
      <w:pPr>
        <w:spacing w:before="120" w:after="120" w:line="320" w:lineRule="exact"/>
        <w:jc w:val="both"/>
        <w:rPr>
          <w:rFonts w:ascii="Times New Roman" w:eastAsia="Tahoma" w:hAnsi="Times New Roman" w:cs="Times New Roman"/>
          <w:sz w:val="24"/>
          <w:szCs w:val="24"/>
          <w:lang w:val="es-MX"/>
        </w:rPr>
      </w:pPr>
      <w:r w:rsidRPr="00C56FBE">
        <w:rPr>
          <w:rFonts w:ascii="Times New Roman" w:hAnsi="Times New Roman" w:cs="Times New Roman"/>
          <w:sz w:val="24"/>
          <w:szCs w:val="24"/>
        </w:rPr>
        <w:t>E</w:t>
      </w:r>
      <w:r w:rsidRPr="00C56FBE">
        <w:rPr>
          <w:rFonts w:ascii="Times New Roman" w:eastAsia="Tahoma" w:hAnsi="Times New Roman" w:cs="Times New Roman"/>
          <w:sz w:val="24"/>
          <w:szCs w:val="24"/>
          <w:lang w:val="es-MX"/>
        </w:rPr>
        <w:t>n relación a la garantía de la debida motivación de decisiones, el T</w:t>
      </w:r>
      <w:r w:rsidR="007C6027">
        <w:rPr>
          <w:rFonts w:ascii="Times New Roman" w:eastAsia="Tahoma" w:hAnsi="Times New Roman" w:cs="Times New Roman"/>
          <w:sz w:val="24"/>
          <w:szCs w:val="24"/>
          <w:lang w:val="es-MX"/>
        </w:rPr>
        <w:t xml:space="preserve">ribunal </w:t>
      </w:r>
      <w:r w:rsidRPr="00C56FBE">
        <w:rPr>
          <w:rFonts w:ascii="Times New Roman" w:eastAsia="Tahoma" w:hAnsi="Times New Roman" w:cs="Times New Roman"/>
          <w:sz w:val="24"/>
          <w:szCs w:val="24"/>
          <w:lang w:val="es-MX"/>
        </w:rPr>
        <w:t>C</w:t>
      </w:r>
      <w:r w:rsidR="007C6027">
        <w:rPr>
          <w:rFonts w:ascii="Times New Roman" w:eastAsia="Tahoma" w:hAnsi="Times New Roman" w:cs="Times New Roman"/>
          <w:sz w:val="24"/>
          <w:szCs w:val="24"/>
          <w:lang w:val="es-MX"/>
        </w:rPr>
        <w:t>onstitucional</w:t>
      </w:r>
    </w:p>
    <w:p w:rsidR="00937279" w:rsidRPr="00937279" w:rsidRDefault="00306894" w:rsidP="00937279">
      <w:pPr>
        <w:spacing w:before="120" w:after="120" w:line="320" w:lineRule="exact"/>
        <w:ind w:left="567" w:right="566"/>
        <w:jc w:val="both"/>
        <w:rPr>
          <w:rFonts w:ascii="Times New Roman" w:eastAsia="Tahoma" w:hAnsi="Times New Roman" w:cs="Times New Roman"/>
          <w:sz w:val="24"/>
          <w:szCs w:val="24"/>
          <w:lang w:val="es-ES_tradnl"/>
        </w:rPr>
      </w:pPr>
      <w:r w:rsidRPr="00C56FBE">
        <w:rPr>
          <w:rFonts w:ascii="Times New Roman" w:eastAsia="Tahoma" w:hAnsi="Times New Roman" w:cs="Times New Roman"/>
          <w:sz w:val="24"/>
          <w:szCs w:val="24"/>
          <w:lang w:val="es-MX"/>
        </w:rPr>
        <w:t xml:space="preserve">“ha precisado que el </w:t>
      </w:r>
      <w:r w:rsidRPr="00C56FBE">
        <w:rPr>
          <w:rFonts w:ascii="Times New Roman" w:eastAsia="Tahoma" w:hAnsi="Times New Roman" w:cs="Times New Roman"/>
          <w:sz w:val="24"/>
          <w:szCs w:val="24"/>
          <w:lang w:val="es-ES_tradnl"/>
        </w:rPr>
        <w:t>contenido constitucionalmente garantizado de este derecho queda delimitado, entre otros, en los siguientes supuestos:</w:t>
      </w:r>
      <w:r w:rsidRPr="00C56FBE">
        <w:rPr>
          <w:rFonts w:ascii="Times New Roman" w:eastAsia="Tahoma" w:hAnsi="Times New Roman" w:cs="Times New Roman"/>
          <w:sz w:val="24"/>
          <w:szCs w:val="24"/>
          <w:lang w:val="es-MX"/>
        </w:rPr>
        <w:t xml:space="preserve"> (…) b) </w:t>
      </w:r>
      <w:r w:rsidRPr="00C56FBE">
        <w:rPr>
          <w:rFonts w:ascii="Times New Roman" w:eastAsia="Tahoma" w:hAnsi="Times New Roman" w:cs="Times New Roman"/>
          <w:i/>
          <w:sz w:val="24"/>
          <w:szCs w:val="24"/>
          <w:lang w:val="es-ES_tradnl"/>
        </w:rPr>
        <w:t>Falta de motivación interna del razonamiento</w:t>
      </w:r>
      <w:r w:rsidRPr="00C56FBE">
        <w:rPr>
          <w:rFonts w:ascii="Times New Roman" w:eastAsia="Tahoma" w:hAnsi="Times New Roman" w:cs="Times New Roman"/>
          <w:sz w:val="24"/>
          <w:szCs w:val="24"/>
          <w:lang w:val="es-ES_tradnl"/>
        </w:rPr>
        <w:t xml:space="preserve">. La falta de motivación interna del razonamiento [defectos internos de la motivación] se presenta (…) cuando existe invalidez de una inferencia a partir de las premisas que establece previamente el Juez en su decisión. (…) c) </w:t>
      </w:r>
      <w:r w:rsidRPr="00C56FBE">
        <w:rPr>
          <w:rFonts w:ascii="Times New Roman" w:eastAsia="Tahoma" w:hAnsi="Times New Roman" w:cs="Times New Roman"/>
          <w:i/>
          <w:sz w:val="24"/>
          <w:szCs w:val="24"/>
          <w:lang w:val="es-ES_tradnl"/>
        </w:rPr>
        <w:t>Deficiencias en la motivación externa; justificación de las premisas</w:t>
      </w:r>
      <w:r w:rsidRPr="00C56FBE">
        <w:rPr>
          <w:rFonts w:ascii="Times New Roman" w:eastAsia="Tahoma" w:hAnsi="Times New Roman" w:cs="Times New Roman"/>
          <w:sz w:val="24"/>
          <w:szCs w:val="24"/>
          <w:lang w:val="es-ES_tradnl"/>
        </w:rPr>
        <w:t>. El control de la motivación también puede autorizar la actuación del juez constitucional cuando las premisas de las que parte el Juez no han sido confrontadas o analizadas respecto de su validez fáctica o jurídica (…) El control de la justificación externa del razonamiento resulta fundamental para apreciar la justicia y razonabilidad de la decisión judicial en el Estado democrático”</w:t>
      </w:r>
      <w:r w:rsidRPr="00C56FBE">
        <w:rPr>
          <w:rStyle w:val="Refdenotaalpie"/>
          <w:rFonts w:ascii="Times New Roman" w:eastAsia="Tahoma" w:hAnsi="Times New Roman" w:cs="Times New Roman"/>
          <w:sz w:val="24"/>
          <w:szCs w:val="24"/>
          <w:lang w:val="es-ES_tradnl"/>
        </w:rPr>
        <w:footnoteReference w:id="1"/>
      </w:r>
      <w:r w:rsidRPr="00C56FBE">
        <w:rPr>
          <w:rFonts w:ascii="Times New Roman" w:eastAsia="Tahoma" w:hAnsi="Times New Roman" w:cs="Times New Roman"/>
          <w:sz w:val="24"/>
          <w:szCs w:val="24"/>
          <w:lang w:val="es-ES_tradnl"/>
        </w:rPr>
        <w:t xml:space="preserve">. </w:t>
      </w:r>
    </w:p>
    <w:p w:rsidR="00A960ED" w:rsidRPr="00C56FBE" w:rsidRDefault="00BF2AC2"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Tanto l</w:t>
      </w:r>
      <w:r w:rsidR="00306894" w:rsidRPr="00C56FBE">
        <w:rPr>
          <w:rFonts w:ascii="Times New Roman" w:hAnsi="Times New Roman" w:cs="Times New Roman"/>
          <w:sz w:val="24"/>
          <w:szCs w:val="24"/>
        </w:rPr>
        <w:t xml:space="preserve">a Resolución 1 </w:t>
      </w:r>
      <w:r w:rsidRPr="00C56FBE">
        <w:rPr>
          <w:rFonts w:ascii="Times New Roman" w:hAnsi="Times New Roman" w:cs="Times New Roman"/>
          <w:sz w:val="24"/>
          <w:szCs w:val="24"/>
        </w:rPr>
        <w:t>como la Resolución 2, son contrarias al</w:t>
      </w:r>
      <w:r w:rsidR="00306894" w:rsidRPr="00C56FBE">
        <w:rPr>
          <w:rFonts w:ascii="Times New Roman" w:hAnsi="Times New Roman" w:cs="Times New Roman"/>
          <w:sz w:val="24"/>
          <w:szCs w:val="24"/>
        </w:rPr>
        <w:t xml:space="preserve"> contenido constitucional del derecho fundamental a la adecuada motivación de decisiones judiciales porque </w:t>
      </w:r>
      <w:r w:rsidRPr="00C56FBE">
        <w:rPr>
          <w:rFonts w:ascii="Times New Roman" w:hAnsi="Times New Roman" w:cs="Times New Roman"/>
          <w:sz w:val="24"/>
          <w:szCs w:val="24"/>
        </w:rPr>
        <w:t xml:space="preserve">ambas presentan </w:t>
      </w:r>
      <w:r w:rsidR="00306894" w:rsidRPr="00C56FBE">
        <w:rPr>
          <w:rFonts w:ascii="Times New Roman" w:hAnsi="Times New Roman" w:cs="Times New Roman"/>
          <w:sz w:val="24"/>
          <w:szCs w:val="24"/>
        </w:rPr>
        <w:t>graves deficiencias de motivación interna y de motivación externa.</w:t>
      </w:r>
    </w:p>
    <w:p w:rsidR="00A83DD2" w:rsidRDefault="00A83DD2" w:rsidP="00C97E04">
      <w:pPr>
        <w:spacing w:before="120" w:after="120" w:line="320" w:lineRule="exact"/>
        <w:jc w:val="both"/>
        <w:rPr>
          <w:rFonts w:ascii="Times New Roman" w:hAnsi="Times New Roman" w:cs="Times New Roman"/>
          <w:b/>
          <w:sz w:val="24"/>
          <w:szCs w:val="24"/>
        </w:rPr>
      </w:pPr>
    </w:p>
    <w:p w:rsidR="00BF2AC2" w:rsidRPr="00C56FBE" w:rsidRDefault="00BF2AC2" w:rsidP="00C97E04">
      <w:pPr>
        <w:spacing w:before="120" w:after="120" w:line="320" w:lineRule="exact"/>
        <w:jc w:val="both"/>
        <w:rPr>
          <w:rFonts w:ascii="Times New Roman" w:hAnsi="Times New Roman" w:cs="Times New Roman"/>
          <w:b/>
          <w:sz w:val="24"/>
          <w:szCs w:val="24"/>
        </w:rPr>
      </w:pPr>
      <w:r w:rsidRPr="00C56FBE">
        <w:rPr>
          <w:rFonts w:ascii="Times New Roman" w:hAnsi="Times New Roman" w:cs="Times New Roman"/>
          <w:b/>
          <w:sz w:val="24"/>
          <w:szCs w:val="24"/>
        </w:rPr>
        <w:t>2.</w:t>
      </w:r>
      <w:r w:rsidRPr="00C56FBE">
        <w:rPr>
          <w:rFonts w:ascii="Times New Roman" w:hAnsi="Times New Roman" w:cs="Times New Roman"/>
          <w:sz w:val="24"/>
          <w:szCs w:val="24"/>
        </w:rPr>
        <w:t xml:space="preserve"> </w:t>
      </w:r>
      <w:r w:rsidR="00306894" w:rsidRPr="00C56FBE">
        <w:rPr>
          <w:rFonts w:ascii="Times New Roman" w:hAnsi="Times New Roman" w:cs="Times New Roman"/>
          <w:b/>
          <w:sz w:val="24"/>
          <w:szCs w:val="24"/>
        </w:rPr>
        <w:t>Las graves defici</w:t>
      </w:r>
      <w:r w:rsidRPr="00C56FBE">
        <w:rPr>
          <w:rFonts w:ascii="Times New Roman" w:hAnsi="Times New Roman" w:cs="Times New Roman"/>
          <w:b/>
          <w:sz w:val="24"/>
          <w:szCs w:val="24"/>
        </w:rPr>
        <w:t>encias en la motivación interna</w:t>
      </w:r>
    </w:p>
    <w:p w:rsidR="00BF2AC2" w:rsidRPr="00C56FBE" w:rsidRDefault="00BF2AC2" w:rsidP="00BF2AC2">
      <w:pPr>
        <w:pStyle w:val="Prrafodelista"/>
        <w:numPr>
          <w:ilvl w:val="0"/>
          <w:numId w:val="17"/>
        </w:numPr>
        <w:spacing w:before="120" w:after="120" w:line="320" w:lineRule="exact"/>
        <w:jc w:val="both"/>
        <w:rPr>
          <w:rFonts w:ascii="Times New Roman" w:hAnsi="Times New Roman" w:cs="Times New Roman"/>
          <w:b/>
          <w:sz w:val="24"/>
          <w:szCs w:val="24"/>
        </w:rPr>
      </w:pPr>
      <w:r w:rsidRPr="00C56FBE">
        <w:rPr>
          <w:rFonts w:ascii="Times New Roman" w:hAnsi="Times New Roman" w:cs="Times New Roman"/>
          <w:b/>
          <w:sz w:val="24"/>
          <w:szCs w:val="24"/>
        </w:rPr>
        <w:t>Primer nivel de desconexión lógica</w:t>
      </w:r>
    </w:p>
    <w:p w:rsidR="009B7F40" w:rsidRPr="00C56FBE" w:rsidRDefault="00306894" w:rsidP="00BF2AC2">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 xml:space="preserve">La justificación interna de una decisión judicial reclama que exista una relación lógica entre las premisas fácticas o jurídicas, y la conclusión a la que se arriba. </w:t>
      </w:r>
      <w:r w:rsidR="00D37D0C" w:rsidRPr="00C56FBE">
        <w:rPr>
          <w:rFonts w:ascii="Times New Roman" w:hAnsi="Times New Roman" w:cs="Times New Roman"/>
          <w:sz w:val="24"/>
          <w:szCs w:val="24"/>
        </w:rPr>
        <w:t xml:space="preserve">Si esta relación lógica no existe, entonces, la inferencia no puede ser tenida como </w:t>
      </w:r>
      <w:r w:rsidR="0066702B">
        <w:rPr>
          <w:rFonts w:ascii="Times New Roman" w:hAnsi="Times New Roman" w:cs="Times New Roman"/>
          <w:sz w:val="24"/>
          <w:szCs w:val="24"/>
        </w:rPr>
        <w:t xml:space="preserve">formalmente </w:t>
      </w:r>
      <w:r w:rsidR="00D37D0C" w:rsidRPr="00C56FBE">
        <w:rPr>
          <w:rFonts w:ascii="Times New Roman" w:hAnsi="Times New Roman" w:cs="Times New Roman"/>
          <w:sz w:val="24"/>
          <w:szCs w:val="24"/>
        </w:rPr>
        <w:t>válida.</w:t>
      </w:r>
      <w:r w:rsidR="009B7F40" w:rsidRPr="00C56FBE">
        <w:rPr>
          <w:rFonts w:ascii="Times New Roman" w:hAnsi="Times New Roman" w:cs="Times New Roman"/>
          <w:sz w:val="24"/>
          <w:szCs w:val="24"/>
        </w:rPr>
        <w:t xml:space="preserve"> </w:t>
      </w:r>
      <w:r w:rsidR="00D37D0C" w:rsidRPr="00C56FBE">
        <w:rPr>
          <w:rFonts w:ascii="Times New Roman" w:hAnsi="Times New Roman" w:cs="Times New Roman"/>
          <w:sz w:val="24"/>
          <w:szCs w:val="24"/>
        </w:rPr>
        <w:t xml:space="preserve">La decisión de la Resolución 1 se basa principalmente en las declaraciones del </w:t>
      </w:r>
      <w:r w:rsidR="007C6027">
        <w:rPr>
          <w:rFonts w:ascii="Times New Roman" w:hAnsi="Times New Roman" w:cs="Times New Roman"/>
          <w:sz w:val="24"/>
          <w:szCs w:val="24"/>
        </w:rPr>
        <w:t xml:space="preserve">Testigo </w:t>
      </w:r>
      <w:r w:rsidR="007C6027">
        <w:rPr>
          <w:rFonts w:ascii="Times New Roman" w:hAnsi="Times New Roman" w:cs="Times New Roman"/>
          <w:sz w:val="24"/>
          <w:szCs w:val="24"/>
        </w:rPr>
        <w:lastRenderedPageBreak/>
        <w:t>protegido TP 2017</w:t>
      </w:r>
      <w:r w:rsidR="00BB774A">
        <w:rPr>
          <w:rFonts w:ascii="Times New Roman" w:hAnsi="Times New Roman" w:cs="Times New Roman"/>
          <w:sz w:val="24"/>
          <w:szCs w:val="24"/>
        </w:rPr>
        <w:t>–</w:t>
      </w:r>
      <w:r w:rsidR="007C6027">
        <w:rPr>
          <w:rFonts w:ascii="Times New Roman" w:hAnsi="Times New Roman" w:cs="Times New Roman"/>
          <w:sz w:val="24"/>
          <w:szCs w:val="24"/>
        </w:rPr>
        <w:t>55</w:t>
      </w:r>
      <w:r w:rsidR="00BB774A">
        <w:rPr>
          <w:rFonts w:ascii="Times New Roman" w:hAnsi="Times New Roman" w:cs="Times New Roman"/>
          <w:sz w:val="24"/>
          <w:szCs w:val="24"/>
        </w:rPr>
        <w:t>–</w:t>
      </w:r>
      <w:r w:rsidR="007C6027">
        <w:rPr>
          <w:rFonts w:ascii="Times New Roman" w:hAnsi="Times New Roman" w:cs="Times New Roman"/>
          <w:sz w:val="24"/>
          <w:szCs w:val="24"/>
        </w:rPr>
        <w:t xml:space="preserve">10, en adelante </w:t>
      </w:r>
      <w:r w:rsidR="00D37D0C" w:rsidRPr="00C56FBE">
        <w:rPr>
          <w:rFonts w:ascii="Times New Roman" w:hAnsi="Times New Roman" w:cs="Times New Roman"/>
          <w:sz w:val="24"/>
          <w:szCs w:val="24"/>
        </w:rPr>
        <w:t>TP 10</w:t>
      </w:r>
      <w:r w:rsidR="007C6027">
        <w:rPr>
          <w:rFonts w:ascii="Times New Roman" w:hAnsi="Times New Roman" w:cs="Times New Roman"/>
          <w:sz w:val="24"/>
          <w:szCs w:val="24"/>
        </w:rPr>
        <w:t>;</w:t>
      </w:r>
      <w:r w:rsidR="00D37D0C" w:rsidRPr="00C56FBE">
        <w:rPr>
          <w:rFonts w:ascii="Times New Roman" w:hAnsi="Times New Roman" w:cs="Times New Roman"/>
          <w:sz w:val="24"/>
          <w:szCs w:val="24"/>
        </w:rPr>
        <w:t xml:space="preserve"> y del </w:t>
      </w:r>
      <w:r w:rsidR="007C6027">
        <w:rPr>
          <w:rFonts w:ascii="Times New Roman" w:hAnsi="Times New Roman" w:cs="Times New Roman"/>
          <w:sz w:val="24"/>
          <w:szCs w:val="24"/>
        </w:rPr>
        <w:t xml:space="preserve">colaborador eficaz </w:t>
      </w:r>
      <w:r w:rsidR="00D37D0C" w:rsidRPr="00C56FBE">
        <w:rPr>
          <w:rFonts w:ascii="Times New Roman" w:hAnsi="Times New Roman" w:cs="Times New Roman"/>
          <w:sz w:val="24"/>
          <w:szCs w:val="24"/>
        </w:rPr>
        <w:t xml:space="preserve">CE </w:t>
      </w:r>
      <w:r w:rsidR="007C6027">
        <w:rPr>
          <w:rFonts w:ascii="Times New Roman" w:hAnsi="Times New Roman" w:cs="Times New Roman"/>
          <w:sz w:val="24"/>
          <w:szCs w:val="24"/>
        </w:rPr>
        <w:t>2017</w:t>
      </w:r>
      <w:r w:rsidR="00BB774A">
        <w:rPr>
          <w:rFonts w:ascii="Times New Roman" w:hAnsi="Times New Roman" w:cs="Times New Roman"/>
          <w:sz w:val="24"/>
          <w:szCs w:val="24"/>
        </w:rPr>
        <w:t>–</w:t>
      </w:r>
      <w:r w:rsidR="007C6027">
        <w:rPr>
          <w:rFonts w:ascii="Times New Roman" w:hAnsi="Times New Roman" w:cs="Times New Roman"/>
          <w:sz w:val="24"/>
          <w:szCs w:val="24"/>
        </w:rPr>
        <w:t>55</w:t>
      </w:r>
      <w:r w:rsidR="00BB774A">
        <w:rPr>
          <w:rFonts w:ascii="Times New Roman" w:hAnsi="Times New Roman" w:cs="Times New Roman"/>
          <w:sz w:val="24"/>
          <w:szCs w:val="24"/>
        </w:rPr>
        <w:t>–</w:t>
      </w:r>
      <w:r w:rsidR="00D37D0C" w:rsidRPr="00C56FBE">
        <w:rPr>
          <w:rFonts w:ascii="Times New Roman" w:hAnsi="Times New Roman" w:cs="Times New Roman"/>
          <w:sz w:val="24"/>
          <w:szCs w:val="24"/>
        </w:rPr>
        <w:t>8</w:t>
      </w:r>
      <w:r w:rsidR="00AD780A" w:rsidRPr="00C56FBE">
        <w:rPr>
          <w:rFonts w:ascii="Times New Roman" w:hAnsi="Times New Roman" w:cs="Times New Roman"/>
          <w:sz w:val="24"/>
          <w:szCs w:val="24"/>
        </w:rPr>
        <w:t>,</w:t>
      </w:r>
      <w:r w:rsidR="007C6027">
        <w:rPr>
          <w:rFonts w:ascii="Times New Roman" w:hAnsi="Times New Roman" w:cs="Times New Roman"/>
          <w:sz w:val="24"/>
          <w:szCs w:val="24"/>
        </w:rPr>
        <w:t xml:space="preserve"> en adelante CE 8,</w:t>
      </w:r>
      <w:r w:rsidR="00AD780A" w:rsidRPr="00C56FBE">
        <w:rPr>
          <w:rFonts w:ascii="Times New Roman" w:hAnsi="Times New Roman" w:cs="Times New Roman"/>
          <w:sz w:val="24"/>
          <w:szCs w:val="24"/>
        </w:rPr>
        <w:t xml:space="preserve"> que son las declaraciones que mencionan al abogado Edward García Navarro y al Estudio Oré Guardia</w:t>
      </w:r>
      <w:r w:rsidR="00D37D0C" w:rsidRPr="00C56FBE">
        <w:rPr>
          <w:rFonts w:ascii="Times New Roman" w:hAnsi="Times New Roman" w:cs="Times New Roman"/>
          <w:sz w:val="24"/>
          <w:szCs w:val="24"/>
        </w:rPr>
        <w:t xml:space="preserve">. </w:t>
      </w:r>
    </w:p>
    <w:p w:rsidR="00866F37" w:rsidRDefault="00D37D0C"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De la transcrita declaración del TP 10</w:t>
      </w:r>
      <w:r w:rsidR="0066702B">
        <w:rPr>
          <w:rStyle w:val="Refdenotaalpie"/>
          <w:rFonts w:ascii="Times New Roman" w:hAnsi="Times New Roman" w:cs="Times New Roman"/>
          <w:sz w:val="24"/>
          <w:szCs w:val="24"/>
        </w:rPr>
        <w:footnoteReference w:id="2"/>
      </w:r>
      <w:r w:rsidR="0066702B">
        <w:rPr>
          <w:rFonts w:ascii="Times New Roman" w:hAnsi="Times New Roman" w:cs="Times New Roman"/>
          <w:sz w:val="24"/>
          <w:szCs w:val="24"/>
        </w:rPr>
        <w:t>,</w:t>
      </w:r>
      <w:r w:rsidRPr="00C56FBE">
        <w:rPr>
          <w:rFonts w:ascii="Times New Roman" w:hAnsi="Times New Roman" w:cs="Times New Roman"/>
          <w:sz w:val="24"/>
          <w:szCs w:val="24"/>
        </w:rPr>
        <w:t xml:space="preserve"> el Juez infiere que </w:t>
      </w:r>
    </w:p>
    <w:p w:rsidR="00D37D0C" w:rsidRPr="00C56FBE" w:rsidRDefault="00D37D0C" w:rsidP="00866F37">
      <w:pPr>
        <w:spacing w:before="120" w:after="120" w:line="320" w:lineRule="exact"/>
        <w:ind w:left="567" w:right="566"/>
        <w:jc w:val="both"/>
        <w:rPr>
          <w:rFonts w:ascii="Times New Roman" w:hAnsi="Times New Roman" w:cs="Times New Roman"/>
          <w:sz w:val="24"/>
          <w:szCs w:val="24"/>
        </w:rPr>
      </w:pPr>
      <w:r w:rsidRPr="00C56FBE">
        <w:rPr>
          <w:rFonts w:ascii="Times New Roman" w:hAnsi="Times New Roman" w:cs="Times New Roman"/>
          <w:sz w:val="24"/>
          <w:szCs w:val="24"/>
        </w:rPr>
        <w:t>“los abogados Edward García Navarro y Giuliana Loza Ávalos habían contactado al abogado Fernando Carreras Segura, a fin [de] que acompañen a los falsos aportantes, en el sentido que reconocerían que habrían efectuado los aportes (cuando en real</w:t>
      </w:r>
      <w:r w:rsidR="00BB774A">
        <w:rPr>
          <w:rFonts w:ascii="Times New Roman" w:hAnsi="Times New Roman" w:cs="Times New Roman"/>
          <w:sz w:val="24"/>
          <w:szCs w:val="24"/>
        </w:rPr>
        <w:t>idad no lo habían hecho”</w:t>
      </w:r>
      <w:r w:rsidR="00BB774A">
        <w:rPr>
          <w:rStyle w:val="Refdenotaalpie"/>
          <w:rFonts w:ascii="Times New Roman" w:hAnsi="Times New Roman" w:cs="Times New Roman"/>
          <w:sz w:val="24"/>
          <w:szCs w:val="24"/>
        </w:rPr>
        <w:footnoteReference w:id="3"/>
      </w:r>
      <w:r w:rsidR="009B7F40" w:rsidRPr="00C56FBE">
        <w:rPr>
          <w:rFonts w:ascii="Times New Roman" w:hAnsi="Times New Roman" w:cs="Times New Roman"/>
          <w:sz w:val="24"/>
          <w:szCs w:val="24"/>
        </w:rPr>
        <w:t>; y también “se infiere que los abogados [Edward García y Guiliana Loza] habrían influenciado sobre los testigos para que declaren en forma contraria a la verdad”.</w:t>
      </w:r>
    </w:p>
    <w:p w:rsidR="00866F37" w:rsidRDefault="009B7F40"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Estas inferencias, sin embargo, no son posibles de concluir de ninguna parte de la transcrita dec</w:t>
      </w:r>
      <w:r w:rsidR="00BB774A">
        <w:rPr>
          <w:rFonts w:ascii="Times New Roman" w:hAnsi="Times New Roman" w:cs="Times New Roman"/>
          <w:sz w:val="24"/>
          <w:szCs w:val="24"/>
        </w:rPr>
        <w:t>laración del TC 10</w:t>
      </w:r>
      <w:r w:rsidR="00BB774A">
        <w:rPr>
          <w:rStyle w:val="Refdenotaalpie"/>
          <w:rFonts w:ascii="Times New Roman" w:hAnsi="Times New Roman" w:cs="Times New Roman"/>
          <w:sz w:val="24"/>
          <w:szCs w:val="24"/>
        </w:rPr>
        <w:footnoteReference w:id="4"/>
      </w:r>
      <w:r w:rsidRPr="00C56FBE">
        <w:rPr>
          <w:rFonts w:ascii="Times New Roman" w:hAnsi="Times New Roman" w:cs="Times New Roman"/>
          <w:sz w:val="24"/>
          <w:szCs w:val="24"/>
        </w:rPr>
        <w:t>. Por el contrario,</w:t>
      </w:r>
      <w:r w:rsidR="00400F4D">
        <w:rPr>
          <w:rFonts w:ascii="Times New Roman" w:hAnsi="Times New Roman" w:cs="Times New Roman"/>
          <w:sz w:val="24"/>
          <w:szCs w:val="24"/>
        </w:rPr>
        <w:t xml:space="preserve"> este testigo protegido</w:t>
      </w:r>
      <w:r w:rsidRPr="00C56FBE">
        <w:rPr>
          <w:rFonts w:ascii="Times New Roman" w:hAnsi="Times New Roman" w:cs="Times New Roman"/>
          <w:sz w:val="24"/>
          <w:szCs w:val="24"/>
        </w:rPr>
        <w:t xml:space="preserve"> tiene declarado</w:t>
      </w:r>
      <w:r w:rsidR="0099011C" w:rsidRPr="00C56FBE">
        <w:rPr>
          <w:rFonts w:ascii="Times New Roman" w:hAnsi="Times New Roman" w:cs="Times New Roman"/>
          <w:sz w:val="24"/>
          <w:szCs w:val="24"/>
        </w:rPr>
        <w:t xml:space="preserve">, respecto de la segunda reunión en la que habrían estado presentes Edward García, Fernando Carreras, Erick Matto y Jorge Yoshiyama </w:t>
      </w:r>
      <w:r w:rsidRPr="00C56FBE">
        <w:rPr>
          <w:rFonts w:ascii="Times New Roman" w:hAnsi="Times New Roman" w:cs="Times New Roman"/>
          <w:sz w:val="24"/>
          <w:szCs w:val="24"/>
        </w:rPr>
        <w:t xml:space="preserve"> que </w:t>
      </w:r>
    </w:p>
    <w:p w:rsidR="00866F37" w:rsidRDefault="009B7F40" w:rsidP="00866F37">
      <w:pPr>
        <w:spacing w:before="120" w:after="120" w:line="320" w:lineRule="exact"/>
        <w:ind w:left="567" w:right="566"/>
        <w:jc w:val="both"/>
        <w:rPr>
          <w:rFonts w:ascii="Times New Roman" w:hAnsi="Times New Roman" w:cs="Times New Roman"/>
          <w:sz w:val="24"/>
          <w:szCs w:val="24"/>
        </w:rPr>
      </w:pPr>
      <w:r w:rsidRPr="00C56FBE">
        <w:rPr>
          <w:rFonts w:ascii="Times New Roman" w:hAnsi="Times New Roman" w:cs="Times New Roman"/>
          <w:sz w:val="24"/>
          <w:szCs w:val="24"/>
        </w:rPr>
        <w:t xml:space="preserve">“(…) </w:t>
      </w:r>
      <w:r w:rsidR="0099011C" w:rsidRPr="00C56FBE">
        <w:rPr>
          <w:rFonts w:ascii="Times New Roman" w:hAnsi="Times New Roman" w:cs="Times New Roman"/>
          <w:sz w:val="24"/>
          <w:szCs w:val="24"/>
        </w:rPr>
        <w:t xml:space="preserve">ahí conversaron sobre los términos de la declaración, </w:t>
      </w:r>
      <w:r w:rsidRPr="00C56FBE">
        <w:rPr>
          <w:rFonts w:ascii="Times New Roman" w:hAnsi="Times New Roman" w:cs="Times New Roman"/>
          <w:sz w:val="24"/>
          <w:szCs w:val="24"/>
        </w:rPr>
        <w:t>el señor ERICK MATTO MONGE ya tenía su versión establecida respecto a que sí había efectuado los aportes conforme ya lo había declarado a nivel policial con anterioridad”</w:t>
      </w:r>
      <w:r w:rsidR="00BB774A">
        <w:rPr>
          <w:rStyle w:val="Refdenotaalpie"/>
          <w:rFonts w:ascii="Times New Roman" w:hAnsi="Times New Roman" w:cs="Times New Roman"/>
          <w:sz w:val="24"/>
          <w:szCs w:val="24"/>
        </w:rPr>
        <w:footnoteReference w:id="5"/>
      </w:r>
      <w:r w:rsidRPr="00C56FBE">
        <w:rPr>
          <w:rFonts w:ascii="Times New Roman" w:hAnsi="Times New Roman" w:cs="Times New Roman"/>
          <w:sz w:val="24"/>
          <w:szCs w:val="24"/>
        </w:rPr>
        <w:t>.</w:t>
      </w:r>
      <w:r w:rsidR="0099011C" w:rsidRPr="00C56FBE">
        <w:rPr>
          <w:rFonts w:ascii="Times New Roman" w:hAnsi="Times New Roman" w:cs="Times New Roman"/>
          <w:sz w:val="24"/>
          <w:szCs w:val="24"/>
        </w:rPr>
        <w:t xml:space="preserve"> </w:t>
      </w:r>
    </w:p>
    <w:p w:rsidR="009B7F40" w:rsidRPr="00C56FBE" w:rsidRDefault="0099011C"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Desde</w:t>
      </w:r>
      <w:r w:rsidR="00866F37">
        <w:rPr>
          <w:rFonts w:ascii="Times New Roman" w:hAnsi="Times New Roman" w:cs="Times New Roman"/>
          <w:sz w:val="24"/>
          <w:szCs w:val="24"/>
        </w:rPr>
        <w:t xml:space="preserve"> un punto de vista lógico, a partir de</w:t>
      </w:r>
      <w:r w:rsidRPr="00C56FBE">
        <w:rPr>
          <w:rFonts w:ascii="Times New Roman" w:hAnsi="Times New Roman" w:cs="Times New Roman"/>
          <w:sz w:val="24"/>
          <w:szCs w:val="24"/>
        </w:rPr>
        <w:t xml:space="preserve"> esta declaración no </w:t>
      </w:r>
      <w:r w:rsidR="00866F37">
        <w:rPr>
          <w:rFonts w:ascii="Times New Roman" w:hAnsi="Times New Roman" w:cs="Times New Roman"/>
          <w:sz w:val="24"/>
          <w:szCs w:val="24"/>
        </w:rPr>
        <w:t xml:space="preserve">es racionalmente posible </w:t>
      </w:r>
      <w:r w:rsidRPr="00C56FBE">
        <w:rPr>
          <w:rFonts w:ascii="Times New Roman" w:hAnsi="Times New Roman" w:cs="Times New Roman"/>
          <w:sz w:val="24"/>
          <w:szCs w:val="24"/>
        </w:rPr>
        <w:t xml:space="preserve">concluir la inferencia que presenta el Juez. Por el contrario, parece concluirse que a la reunión </w:t>
      </w:r>
      <w:r w:rsidR="00866F37">
        <w:rPr>
          <w:rFonts w:ascii="Times New Roman" w:hAnsi="Times New Roman" w:cs="Times New Roman"/>
          <w:sz w:val="24"/>
          <w:szCs w:val="24"/>
        </w:rPr>
        <w:t xml:space="preserve">referida en la declaración, </w:t>
      </w:r>
      <w:r w:rsidRPr="00C56FBE">
        <w:rPr>
          <w:rFonts w:ascii="Times New Roman" w:hAnsi="Times New Roman" w:cs="Times New Roman"/>
          <w:sz w:val="24"/>
          <w:szCs w:val="24"/>
        </w:rPr>
        <w:t xml:space="preserve">el señor Matto </w:t>
      </w:r>
      <w:r w:rsidR="00866F37">
        <w:rPr>
          <w:rFonts w:ascii="Times New Roman" w:hAnsi="Times New Roman" w:cs="Times New Roman"/>
          <w:sz w:val="24"/>
          <w:szCs w:val="24"/>
        </w:rPr>
        <w:t xml:space="preserve">llega ya con </w:t>
      </w:r>
      <w:r w:rsidRPr="00C56FBE">
        <w:rPr>
          <w:rFonts w:ascii="Times New Roman" w:hAnsi="Times New Roman" w:cs="Times New Roman"/>
          <w:sz w:val="24"/>
          <w:szCs w:val="24"/>
        </w:rPr>
        <w:t xml:space="preserve">una versión </w:t>
      </w:r>
      <w:r w:rsidR="00866F37">
        <w:rPr>
          <w:rFonts w:ascii="Times New Roman" w:hAnsi="Times New Roman" w:cs="Times New Roman"/>
          <w:sz w:val="24"/>
          <w:szCs w:val="24"/>
        </w:rPr>
        <w:t>por</w:t>
      </w:r>
      <w:r w:rsidRPr="00C56FBE">
        <w:rPr>
          <w:rFonts w:ascii="Times New Roman" w:hAnsi="Times New Roman" w:cs="Times New Roman"/>
          <w:sz w:val="24"/>
          <w:szCs w:val="24"/>
        </w:rPr>
        <w:t xml:space="preserve">que era la misma que </w:t>
      </w:r>
      <w:r w:rsidR="00866F37">
        <w:rPr>
          <w:rFonts w:ascii="Times New Roman" w:hAnsi="Times New Roman" w:cs="Times New Roman"/>
          <w:sz w:val="24"/>
          <w:szCs w:val="24"/>
        </w:rPr>
        <w:t xml:space="preserve">ya </w:t>
      </w:r>
      <w:r w:rsidRPr="00C56FBE">
        <w:rPr>
          <w:rFonts w:ascii="Times New Roman" w:hAnsi="Times New Roman" w:cs="Times New Roman"/>
          <w:sz w:val="24"/>
          <w:szCs w:val="24"/>
        </w:rPr>
        <w:t>había dado en</w:t>
      </w:r>
      <w:r w:rsidR="00866F37">
        <w:rPr>
          <w:rFonts w:ascii="Times New Roman" w:hAnsi="Times New Roman" w:cs="Times New Roman"/>
          <w:sz w:val="24"/>
          <w:szCs w:val="24"/>
        </w:rPr>
        <w:t xml:space="preserve"> su declaración ante</w:t>
      </w:r>
      <w:r w:rsidRPr="00C56FBE">
        <w:rPr>
          <w:rFonts w:ascii="Times New Roman" w:hAnsi="Times New Roman" w:cs="Times New Roman"/>
          <w:sz w:val="24"/>
          <w:szCs w:val="24"/>
        </w:rPr>
        <w:t xml:space="preserve"> la policía.</w:t>
      </w:r>
    </w:p>
    <w:p w:rsidR="00866F37" w:rsidRDefault="0099011C"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 xml:space="preserve">Algo parecido ocurre cuando el TP 10 manifiesta que </w:t>
      </w:r>
    </w:p>
    <w:p w:rsidR="00866F37" w:rsidRDefault="0099011C" w:rsidP="00866F37">
      <w:pPr>
        <w:spacing w:before="120" w:after="120" w:line="320" w:lineRule="exact"/>
        <w:ind w:left="567" w:right="566"/>
        <w:jc w:val="both"/>
        <w:rPr>
          <w:rFonts w:ascii="Times New Roman" w:hAnsi="Times New Roman" w:cs="Times New Roman"/>
          <w:sz w:val="24"/>
          <w:szCs w:val="24"/>
        </w:rPr>
      </w:pPr>
      <w:r w:rsidRPr="00C56FBE">
        <w:rPr>
          <w:rFonts w:ascii="Times New Roman" w:hAnsi="Times New Roman" w:cs="Times New Roman"/>
          <w:sz w:val="24"/>
          <w:szCs w:val="24"/>
        </w:rPr>
        <w:t>“[d]ebo precisar que todos los testigos que fueron acompañados por el doctor FERNANDO CARRERAS SEGURA y el abogado de su estudio, ya tenían su versión claramente establecida, es decir, la versión de venir a este despacho fiscal a reconocer haber efectuado un aporte a favor del partido FUERZA POPULAR”</w:t>
      </w:r>
      <w:r w:rsidR="003337EA">
        <w:rPr>
          <w:rStyle w:val="Refdenotaalpie"/>
          <w:rFonts w:ascii="Times New Roman" w:hAnsi="Times New Roman" w:cs="Times New Roman"/>
          <w:sz w:val="24"/>
          <w:szCs w:val="24"/>
        </w:rPr>
        <w:footnoteReference w:id="6"/>
      </w:r>
      <w:r w:rsidRPr="00C56FBE">
        <w:rPr>
          <w:rFonts w:ascii="Times New Roman" w:hAnsi="Times New Roman" w:cs="Times New Roman"/>
          <w:sz w:val="24"/>
          <w:szCs w:val="24"/>
        </w:rPr>
        <w:t xml:space="preserve">. </w:t>
      </w:r>
    </w:p>
    <w:p w:rsidR="00A83DD2" w:rsidRDefault="00AE69D8"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Aun reconociendo como verdadero este hecho, d</w:t>
      </w:r>
      <w:r w:rsidR="00866F37">
        <w:rPr>
          <w:rFonts w:ascii="Times New Roman" w:hAnsi="Times New Roman" w:cs="Times New Roman"/>
          <w:sz w:val="24"/>
          <w:szCs w:val="24"/>
        </w:rPr>
        <w:t xml:space="preserve">esde aquí no es posible </w:t>
      </w:r>
      <w:r w:rsidR="00152D29" w:rsidRPr="00C56FBE">
        <w:rPr>
          <w:rFonts w:ascii="Times New Roman" w:hAnsi="Times New Roman" w:cs="Times New Roman"/>
          <w:sz w:val="24"/>
          <w:szCs w:val="24"/>
        </w:rPr>
        <w:t xml:space="preserve">sostener, como lo hace el Juez </w:t>
      </w:r>
      <w:r w:rsidR="00FB127D" w:rsidRPr="00C56FBE">
        <w:rPr>
          <w:rFonts w:ascii="Times New Roman" w:hAnsi="Times New Roman" w:cs="Times New Roman"/>
          <w:sz w:val="24"/>
          <w:szCs w:val="24"/>
        </w:rPr>
        <w:t xml:space="preserve">tanto </w:t>
      </w:r>
      <w:r w:rsidR="00152D29" w:rsidRPr="00C56FBE">
        <w:rPr>
          <w:rFonts w:ascii="Times New Roman" w:hAnsi="Times New Roman" w:cs="Times New Roman"/>
          <w:sz w:val="24"/>
          <w:szCs w:val="24"/>
        </w:rPr>
        <w:t>en la Resolución</w:t>
      </w:r>
      <w:r w:rsidR="00FB127D" w:rsidRPr="00C56FBE">
        <w:rPr>
          <w:rFonts w:ascii="Times New Roman" w:hAnsi="Times New Roman" w:cs="Times New Roman"/>
          <w:sz w:val="24"/>
          <w:szCs w:val="24"/>
        </w:rPr>
        <w:t xml:space="preserve"> 1 como en la 2</w:t>
      </w:r>
      <w:r w:rsidR="00152D29" w:rsidRPr="00C56FBE">
        <w:rPr>
          <w:rFonts w:ascii="Times New Roman" w:hAnsi="Times New Roman" w:cs="Times New Roman"/>
          <w:sz w:val="24"/>
          <w:szCs w:val="24"/>
        </w:rPr>
        <w:t>, que de este “dato (…) se infiere que los abogados [Edward García] habrían influenciado sobre los testigos para que declaren en forma contraria a la verdad”</w:t>
      </w:r>
      <w:r w:rsidR="00152D29" w:rsidRPr="00C56FBE">
        <w:rPr>
          <w:rStyle w:val="Refdenotaalpie"/>
          <w:rFonts w:ascii="Times New Roman" w:hAnsi="Times New Roman" w:cs="Times New Roman"/>
          <w:sz w:val="24"/>
          <w:szCs w:val="24"/>
        </w:rPr>
        <w:footnoteReference w:id="7"/>
      </w:r>
      <w:r w:rsidR="00152D29" w:rsidRPr="00C56FBE">
        <w:rPr>
          <w:rFonts w:ascii="Times New Roman" w:hAnsi="Times New Roman" w:cs="Times New Roman"/>
          <w:sz w:val="24"/>
          <w:szCs w:val="24"/>
        </w:rPr>
        <w:t>.</w:t>
      </w:r>
      <w:r w:rsidR="00FB127D" w:rsidRPr="00C56FBE">
        <w:rPr>
          <w:rFonts w:ascii="Times New Roman" w:hAnsi="Times New Roman" w:cs="Times New Roman"/>
          <w:sz w:val="24"/>
          <w:szCs w:val="24"/>
        </w:rPr>
        <w:t xml:space="preserve"> </w:t>
      </w:r>
      <w:r w:rsidR="00866F37">
        <w:rPr>
          <w:rFonts w:ascii="Times New Roman" w:hAnsi="Times New Roman" w:cs="Times New Roman"/>
          <w:sz w:val="24"/>
          <w:szCs w:val="24"/>
        </w:rPr>
        <w:t>Pero</w:t>
      </w:r>
      <w:r w:rsidR="00FB127D" w:rsidRPr="00C56FBE">
        <w:rPr>
          <w:rFonts w:ascii="Times New Roman" w:hAnsi="Times New Roman" w:cs="Times New Roman"/>
          <w:sz w:val="24"/>
          <w:szCs w:val="24"/>
        </w:rPr>
        <w:t xml:space="preserve"> de la declaración transcrita </w:t>
      </w:r>
      <w:r w:rsidR="00866F37">
        <w:rPr>
          <w:rFonts w:ascii="Times New Roman" w:hAnsi="Times New Roman" w:cs="Times New Roman"/>
          <w:sz w:val="24"/>
          <w:szCs w:val="24"/>
        </w:rPr>
        <w:t xml:space="preserve">del TP 10, </w:t>
      </w:r>
      <w:r w:rsidR="00FB127D" w:rsidRPr="00C56FBE">
        <w:rPr>
          <w:rFonts w:ascii="Times New Roman" w:hAnsi="Times New Roman" w:cs="Times New Roman"/>
          <w:sz w:val="24"/>
          <w:szCs w:val="24"/>
        </w:rPr>
        <w:t xml:space="preserve">no puede ser inferido, </w:t>
      </w:r>
      <w:r w:rsidR="0099011C" w:rsidRPr="00C56FBE">
        <w:rPr>
          <w:rFonts w:ascii="Times New Roman" w:hAnsi="Times New Roman" w:cs="Times New Roman"/>
          <w:sz w:val="24"/>
          <w:szCs w:val="24"/>
        </w:rPr>
        <w:t xml:space="preserve">no por lo menos sin faltar a la lógica, que </w:t>
      </w:r>
      <w:r w:rsidRPr="00C56FBE">
        <w:rPr>
          <w:rFonts w:ascii="Times New Roman" w:hAnsi="Times New Roman" w:cs="Times New Roman"/>
          <w:sz w:val="24"/>
          <w:szCs w:val="24"/>
        </w:rPr>
        <w:t xml:space="preserve">el abogado Edward García </w:t>
      </w:r>
      <w:r w:rsidRPr="00C56FBE">
        <w:rPr>
          <w:rFonts w:ascii="Times New Roman" w:hAnsi="Times New Roman" w:cs="Times New Roman"/>
          <w:sz w:val="24"/>
          <w:szCs w:val="24"/>
        </w:rPr>
        <w:lastRenderedPageBreak/>
        <w:t>hubiese sido el responsable de que los testigos ya tuvieran una versión claramente establecida, más aun si –como sí se podría inferir correctamente</w:t>
      </w:r>
      <w:r w:rsidR="00BB774A">
        <w:rPr>
          <w:rFonts w:ascii="Times New Roman" w:hAnsi="Times New Roman" w:cs="Times New Roman"/>
          <w:sz w:val="24"/>
          <w:szCs w:val="24"/>
        </w:rPr>
        <w:t>–</w:t>
      </w:r>
      <w:r w:rsidRPr="00C56FBE">
        <w:rPr>
          <w:rFonts w:ascii="Times New Roman" w:hAnsi="Times New Roman" w:cs="Times New Roman"/>
          <w:sz w:val="24"/>
          <w:szCs w:val="24"/>
        </w:rPr>
        <w:t xml:space="preserve">, se trata de reiterar una declaración ya ofrecida en la instancia policial, instancia en la que nada </w:t>
      </w:r>
      <w:r w:rsidR="00866F37">
        <w:rPr>
          <w:rFonts w:ascii="Times New Roman" w:hAnsi="Times New Roman" w:cs="Times New Roman"/>
          <w:sz w:val="24"/>
          <w:szCs w:val="24"/>
        </w:rPr>
        <w:t>hace suponer que hayan sido acompañados o influenciados por el abogado Edward García</w:t>
      </w:r>
      <w:r w:rsidR="00400F4D">
        <w:rPr>
          <w:rStyle w:val="Refdenotaalpie"/>
          <w:rFonts w:ascii="Times New Roman" w:hAnsi="Times New Roman" w:cs="Times New Roman"/>
          <w:sz w:val="24"/>
          <w:szCs w:val="24"/>
        </w:rPr>
        <w:footnoteReference w:id="8"/>
      </w:r>
      <w:r w:rsidRPr="00C56FBE">
        <w:rPr>
          <w:rFonts w:ascii="Times New Roman" w:hAnsi="Times New Roman" w:cs="Times New Roman"/>
          <w:sz w:val="24"/>
          <w:szCs w:val="24"/>
        </w:rPr>
        <w:t>.</w:t>
      </w:r>
    </w:p>
    <w:p w:rsidR="0099011C" w:rsidRPr="00C56FBE" w:rsidRDefault="00AE69D8"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 xml:space="preserve"> </w:t>
      </w:r>
    </w:p>
    <w:p w:rsidR="00D37D0C" w:rsidRPr="00C56FBE" w:rsidRDefault="00BF2AC2" w:rsidP="00BF2AC2">
      <w:pPr>
        <w:pStyle w:val="Prrafodelista"/>
        <w:numPr>
          <w:ilvl w:val="0"/>
          <w:numId w:val="17"/>
        </w:numPr>
        <w:spacing w:before="120" w:after="120" w:line="320" w:lineRule="exact"/>
        <w:jc w:val="both"/>
        <w:rPr>
          <w:rFonts w:ascii="Times New Roman" w:hAnsi="Times New Roman" w:cs="Times New Roman"/>
          <w:b/>
          <w:sz w:val="24"/>
          <w:szCs w:val="24"/>
        </w:rPr>
      </w:pPr>
      <w:r w:rsidRPr="00C56FBE">
        <w:rPr>
          <w:rFonts w:ascii="Times New Roman" w:hAnsi="Times New Roman" w:cs="Times New Roman"/>
          <w:b/>
          <w:sz w:val="24"/>
          <w:szCs w:val="24"/>
        </w:rPr>
        <w:t>Segundo nivel de desconexión lógica</w:t>
      </w:r>
    </w:p>
    <w:p w:rsidR="004109E6" w:rsidRPr="00C56FBE" w:rsidRDefault="004109E6"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Existe un segundo nivel de desconexión lógica entre una posible causa, y el efecto inferido</w:t>
      </w:r>
      <w:r w:rsidR="00866F37">
        <w:rPr>
          <w:rFonts w:ascii="Times New Roman" w:hAnsi="Times New Roman" w:cs="Times New Roman"/>
          <w:sz w:val="24"/>
          <w:szCs w:val="24"/>
        </w:rPr>
        <w:t xml:space="preserve"> por el Juez</w:t>
      </w:r>
      <w:r w:rsidRPr="00C56FBE">
        <w:rPr>
          <w:rFonts w:ascii="Times New Roman" w:hAnsi="Times New Roman" w:cs="Times New Roman"/>
          <w:sz w:val="24"/>
          <w:szCs w:val="24"/>
        </w:rPr>
        <w:t xml:space="preserve">. Aun asumiendo que son verdaderos los hechos declarados por el TP 10 y el CE 6, la resolución vuelve a vulnerar la exigencia de justificación interna a la hora que desde esos hechos </w:t>
      </w:r>
      <w:r w:rsidR="00866F37">
        <w:rPr>
          <w:rFonts w:ascii="Times New Roman" w:hAnsi="Times New Roman" w:cs="Times New Roman"/>
          <w:sz w:val="24"/>
          <w:szCs w:val="24"/>
        </w:rPr>
        <w:t xml:space="preserve">se </w:t>
      </w:r>
      <w:r w:rsidRPr="00C56FBE">
        <w:rPr>
          <w:rFonts w:ascii="Times New Roman" w:hAnsi="Times New Roman" w:cs="Times New Roman"/>
          <w:sz w:val="24"/>
          <w:szCs w:val="24"/>
        </w:rPr>
        <w:t>pretende justificar el alcance de la autorización de allanamiento.</w:t>
      </w:r>
    </w:p>
    <w:p w:rsidR="004109E6" w:rsidRPr="00C56FBE" w:rsidRDefault="00AD780A"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 xml:space="preserve">En efecto, </w:t>
      </w:r>
      <w:r w:rsidR="00866F37">
        <w:rPr>
          <w:rFonts w:ascii="Times New Roman" w:hAnsi="Times New Roman" w:cs="Times New Roman"/>
          <w:sz w:val="24"/>
          <w:szCs w:val="24"/>
        </w:rPr>
        <w:t xml:space="preserve">los hechos referidos en </w:t>
      </w:r>
      <w:r w:rsidRPr="00C56FBE">
        <w:rPr>
          <w:rFonts w:ascii="Times New Roman" w:hAnsi="Times New Roman" w:cs="Times New Roman"/>
          <w:sz w:val="24"/>
          <w:szCs w:val="24"/>
        </w:rPr>
        <w:t xml:space="preserve">las declaraciones transcritas en la Resolución 1 y </w:t>
      </w:r>
      <w:r w:rsidR="00400F4D">
        <w:rPr>
          <w:rFonts w:ascii="Times New Roman" w:hAnsi="Times New Roman" w:cs="Times New Roman"/>
          <w:sz w:val="24"/>
          <w:szCs w:val="24"/>
        </w:rPr>
        <w:t xml:space="preserve">2, y </w:t>
      </w:r>
      <w:r w:rsidRPr="00C56FBE">
        <w:rPr>
          <w:rFonts w:ascii="Times New Roman" w:hAnsi="Times New Roman" w:cs="Times New Roman"/>
          <w:sz w:val="24"/>
          <w:szCs w:val="24"/>
        </w:rPr>
        <w:t xml:space="preserve">que pretenden justificar la decisión de allanamiento, si </w:t>
      </w:r>
      <w:r w:rsidR="00E62A3D">
        <w:rPr>
          <w:rFonts w:ascii="Times New Roman" w:hAnsi="Times New Roman" w:cs="Times New Roman"/>
          <w:sz w:val="24"/>
          <w:szCs w:val="24"/>
        </w:rPr>
        <w:t>fuesen</w:t>
      </w:r>
      <w:r w:rsidRPr="00C56FBE">
        <w:rPr>
          <w:rFonts w:ascii="Times New Roman" w:hAnsi="Times New Roman" w:cs="Times New Roman"/>
          <w:sz w:val="24"/>
          <w:szCs w:val="24"/>
        </w:rPr>
        <w:t xml:space="preserve"> verdaderas solo podrían alcanzar a justificar el allanamiento para encontrar elementos relevantes relacionados con la posible obstrucción de la justicia. Pero </w:t>
      </w:r>
      <w:r w:rsidR="00E62A3D">
        <w:rPr>
          <w:rFonts w:ascii="Times New Roman" w:hAnsi="Times New Roman" w:cs="Times New Roman"/>
          <w:sz w:val="24"/>
          <w:szCs w:val="24"/>
        </w:rPr>
        <w:t xml:space="preserve">ocurre que para el Juez, </w:t>
      </w:r>
      <w:r w:rsidRPr="00C56FBE">
        <w:rPr>
          <w:rFonts w:ascii="Times New Roman" w:hAnsi="Times New Roman" w:cs="Times New Roman"/>
          <w:sz w:val="24"/>
          <w:szCs w:val="24"/>
        </w:rPr>
        <w:t xml:space="preserve">la finalidad de la medida </w:t>
      </w:r>
      <w:r w:rsidR="00E62A3D">
        <w:rPr>
          <w:rFonts w:ascii="Times New Roman" w:hAnsi="Times New Roman" w:cs="Times New Roman"/>
          <w:sz w:val="24"/>
          <w:szCs w:val="24"/>
        </w:rPr>
        <w:t>de allanamiento que autoriza</w:t>
      </w:r>
      <w:r w:rsidRPr="00C56FBE">
        <w:rPr>
          <w:rFonts w:ascii="Times New Roman" w:hAnsi="Times New Roman" w:cs="Times New Roman"/>
          <w:sz w:val="24"/>
          <w:szCs w:val="24"/>
        </w:rPr>
        <w:t xml:space="preserve">, </w:t>
      </w:r>
      <w:r w:rsidR="0077642C" w:rsidRPr="00C56FBE">
        <w:rPr>
          <w:rFonts w:ascii="Times New Roman" w:hAnsi="Times New Roman" w:cs="Times New Roman"/>
          <w:sz w:val="24"/>
          <w:szCs w:val="24"/>
        </w:rPr>
        <w:t xml:space="preserve">tiene dos elementos: el primero </w:t>
      </w:r>
      <w:r w:rsidRPr="00C56FBE">
        <w:rPr>
          <w:rFonts w:ascii="Times New Roman" w:hAnsi="Times New Roman" w:cs="Times New Roman"/>
          <w:sz w:val="24"/>
          <w:szCs w:val="24"/>
        </w:rPr>
        <w:t>“estriba en encontrar cosas relevantes</w:t>
      </w:r>
      <w:r w:rsidR="0077642C" w:rsidRPr="00C56FBE">
        <w:rPr>
          <w:rFonts w:ascii="Times New Roman" w:hAnsi="Times New Roman" w:cs="Times New Roman"/>
          <w:sz w:val="24"/>
          <w:szCs w:val="24"/>
        </w:rPr>
        <w:t xml:space="preserve"> para el objeto de la investigación, referido a la recepción de los fondos ilícitos y/o colocación en el sistema financiero del Partido Político Fuerza 2011 y Fuerza Popular, correspondiente</w:t>
      </w:r>
      <w:r w:rsidR="003337EA">
        <w:rPr>
          <w:rFonts w:ascii="Times New Roman" w:hAnsi="Times New Roman" w:cs="Times New Roman"/>
          <w:sz w:val="24"/>
          <w:szCs w:val="24"/>
        </w:rPr>
        <w:t xml:space="preserve"> a los años 2010 a 2016”</w:t>
      </w:r>
      <w:r w:rsidR="003337EA">
        <w:rPr>
          <w:rStyle w:val="Refdenotaalpie"/>
          <w:rFonts w:ascii="Times New Roman" w:hAnsi="Times New Roman" w:cs="Times New Roman"/>
          <w:sz w:val="24"/>
          <w:szCs w:val="24"/>
        </w:rPr>
        <w:footnoteReference w:id="9"/>
      </w:r>
      <w:r w:rsidR="0077642C" w:rsidRPr="00C56FBE">
        <w:rPr>
          <w:rFonts w:ascii="Times New Roman" w:hAnsi="Times New Roman" w:cs="Times New Roman"/>
          <w:sz w:val="24"/>
          <w:szCs w:val="24"/>
        </w:rPr>
        <w:t>; y el segundo elemento está referido a la “obstaculización a la actividad probatoria (direccionamiento en la d</w:t>
      </w:r>
      <w:r w:rsidR="003337EA">
        <w:rPr>
          <w:rFonts w:ascii="Times New Roman" w:hAnsi="Times New Roman" w:cs="Times New Roman"/>
          <w:sz w:val="24"/>
          <w:szCs w:val="24"/>
        </w:rPr>
        <w:t>eclaración de testigos)”</w:t>
      </w:r>
      <w:r w:rsidR="003337EA">
        <w:rPr>
          <w:rStyle w:val="Refdenotaalpie"/>
          <w:rFonts w:ascii="Times New Roman" w:hAnsi="Times New Roman" w:cs="Times New Roman"/>
          <w:sz w:val="24"/>
          <w:szCs w:val="24"/>
        </w:rPr>
        <w:footnoteReference w:id="10"/>
      </w:r>
      <w:r w:rsidR="0077642C" w:rsidRPr="00C56FBE">
        <w:rPr>
          <w:rFonts w:ascii="Times New Roman" w:hAnsi="Times New Roman" w:cs="Times New Roman"/>
          <w:sz w:val="24"/>
          <w:szCs w:val="24"/>
        </w:rPr>
        <w:t>.</w:t>
      </w:r>
    </w:p>
    <w:p w:rsidR="00E62A3D" w:rsidRDefault="0077642C"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 xml:space="preserve">Pero </w:t>
      </w:r>
      <w:r w:rsidR="00452A87" w:rsidRPr="00C56FBE">
        <w:rPr>
          <w:rFonts w:ascii="Times New Roman" w:hAnsi="Times New Roman" w:cs="Times New Roman"/>
          <w:sz w:val="24"/>
          <w:szCs w:val="24"/>
        </w:rPr>
        <w:t xml:space="preserve">de las razones que son mostradas por la Resolución </w:t>
      </w:r>
      <w:r w:rsidR="00400F4D">
        <w:rPr>
          <w:rFonts w:ascii="Times New Roman" w:hAnsi="Times New Roman" w:cs="Times New Roman"/>
          <w:sz w:val="24"/>
          <w:szCs w:val="24"/>
        </w:rPr>
        <w:t xml:space="preserve">1 y </w:t>
      </w:r>
      <w:r w:rsidR="00452A87" w:rsidRPr="00C56FBE">
        <w:rPr>
          <w:rFonts w:ascii="Times New Roman" w:hAnsi="Times New Roman" w:cs="Times New Roman"/>
          <w:sz w:val="24"/>
          <w:szCs w:val="24"/>
        </w:rPr>
        <w:t xml:space="preserve">2, </w:t>
      </w:r>
      <w:r w:rsidRPr="00C56FBE">
        <w:rPr>
          <w:rFonts w:ascii="Times New Roman" w:hAnsi="Times New Roman" w:cs="Times New Roman"/>
          <w:sz w:val="24"/>
          <w:szCs w:val="24"/>
        </w:rPr>
        <w:t xml:space="preserve">ninguna </w:t>
      </w:r>
      <w:r w:rsidR="00452A87" w:rsidRPr="00C56FBE">
        <w:rPr>
          <w:rFonts w:ascii="Times New Roman" w:hAnsi="Times New Roman" w:cs="Times New Roman"/>
          <w:sz w:val="24"/>
          <w:szCs w:val="24"/>
        </w:rPr>
        <w:t xml:space="preserve">permite inferir que está permitida una medida de allanamiento en relación al primer elemento mostrado como finalidad. Tales razones solo alcanzan a estar relacionadas con el segundo elemento de la finalidad mostrada. De hecho, la propia Resolución </w:t>
      </w:r>
      <w:r w:rsidR="00400F4D">
        <w:rPr>
          <w:rFonts w:ascii="Times New Roman" w:hAnsi="Times New Roman" w:cs="Times New Roman"/>
          <w:sz w:val="24"/>
          <w:szCs w:val="24"/>
        </w:rPr>
        <w:t>2</w:t>
      </w:r>
      <w:r w:rsidR="00E62A3D">
        <w:rPr>
          <w:rFonts w:ascii="Times New Roman" w:hAnsi="Times New Roman" w:cs="Times New Roman"/>
          <w:sz w:val="24"/>
          <w:szCs w:val="24"/>
        </w:rPr>
        <w:t xml:space="preserve"> –y también la 1</w:t>
      </w:r>
      <w:r w:rsidR="004F65EB">
        <w:rPr>
          <w:rFonts w:ascii="Times New Roman" w:hAnsi="Times New Roman" w:cs="Times New Roman"/>
          <w:sz w:val="24"/>
          <w:szCs w:val="24"/>
        </w:rPr>
        <w:t>–</w:t>
      </w:r>
      <w:r w:rsidR="00E62A3D">
        <w:rPr>
          <w:rFonts w:ascii="Times New Roman" w:hAnsi="Times New Roman" w:cs="Times New Roman"/>
          <w:sz w:val="24"/>
          <w:szCs w:val="24"/>
        </w:rPr>
        <w:t>,</w:t>
      </w:r>
      <w:r w:rsidR="00400F4D">
        <w:rPr>
          <w:rFonts w:ascii="Times New Roman" w:hAnsi="Times New Roman" w:cs="Times New Roman"/>
          <w:sz w:val="24"/>
          <w:szCs w:val="24"/>
        </w:rPr>
        <w:t xml:space="preserve"> </w:t>
      </w:r>
      <w:r w:rsidR="00452A87" w:rsidRPr="00C56FBE">
        <w:rPr>
          <w:rFonts w:ascii="Times New Roman" w:hAnsi="Times New Roman" w:cs="Times New Roman"/>
          <w:sz w:val="24"/>
          <w:szCs w:val="24"/>
        </w:rPr>
        <w:t xml:space="preserve">sostiene que </w:t>
      </w:r>
    </w:p>
    <w:p w:rsidR="00452A87" w:rsidRPr="00C56FBE" w:rsidRDefault="00452A87" w:rsidP="00E62A3D">
      <w:pPr>
        <w:spacing w:before="120" w:after="120" w:line="320" w:lineRule="exact"/>
        <w:ind w:left="567" w:right="566"/>
        <w:jc w:val="both"/>
        <w:rPr>
          <w:rFonts w:ascii="Times New Roman" w:hAnsi="Times New Roman" w:cs="Times New Roman"/>
          <w:sz w:val="24"/>
          <w:szCs w:val="24"/>
        </w:rPr>
      </w:pPr>
      <w:r w:rsidRPr="00C56FBE">
        <w:rPr>
          <w:rFonts w:ascii="Times New Roman" w:hAnsi="Times New Roman" w:cs="Times New Roman"/>
          <w:sz w:val="24"/>
          <w:szCs w:val="24"/>
        </w:rPr>
        <w:t>“[e]n el presente caso concreto existen suficientes elementos de convicción sobre los hechos materia de investigación, específicamente en cuanto a la perturbación a la averiguación de la verdad desplegada por el abogado Edward García Navarro (miembro del Estudio Oré Guardia), conforme se expone a continuación (…)”</w:t>
      </w:r>
      <w:r w:rsidRPr="00C56FBE">
        <w:rPr>
          <w:rStyle w:val="Refdenotaalpie"/>
          <w:rFonts w:ascii="Times New Roman" w:hAnsi="Times New Roman" w:cs="Times New Roman"/>
          <w:sz w:val="24"/>
          <w:szCs w:val="24"/>
        </w:rPr>
        <w:footnoteReference w:id="11"/>
      </w:r>
      <w:r w:rsidRPr="00C56FBE">
        <w:rPr>
          <w:rFonts w:ascii="Times New Roman" w:hAnsi="Times New Roman" w:cs="Times New Roman"/>
          <w:sz w:val="24"/>
          <w:szCs w:val="24"/>
        </w:rPr>
        <w:t>.</w:t>
      </w:r>
    </w:p>
    <w:p w:rsidR="0077642C" w:rsidRPr="00C56FBE" w:rsidRDefault="0077642C"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 xml:space="preserve">Consecuentemente, </w:t>
      </w:r>
      <w:r w:rsidR="00452A87" w:rsidRPr="00C56FBE">
        <w:rPr>
          <w:rFonts w:ascii="Times New Roman" w:hAnsi="Times New Roman" w:cs="Times New Roman"/>
          <w:sz w:val="24"/>
          <w:szCs w:val="24"/>
        </w:rPr>
        <w:t xml:space="preserve">existe una desconexión lógica entre </w:t>
      </w:r>
      <w:r w:rsidR="00EF7861" w:rsidRPr="00C56FBE">
        <w:rPr>
          <w:rFonts w:ascii="Times New Roman" w:hAnsi="Times New Roman" w:cs="Times New Roman"/>
          <w:sz w:val="24"/>
          <w:szCs w:val="24"/>
        </w:rPr>
        <w:t>las premisas que pueden concluirse desde las declaraciones transcritas en la</w:t>
      </w:r>
      <w:r w:rsidR="00E62A3D">
        <w:rPr>
          <w:rFonts w:ascii="Times New Roman" w:hAnsi="Times New Roman" w:cs="Times New Roman"/>
          <w:sz w:val="24"/>
          <w:szCs w:val="24"/>
        </w:rPr>
        <w:t>s dos Resolucio</w:t>
      </w:r>
      <w:r w:rsidR="00EF7861" w:rsidRPr="00C56FBE">
        <w:rPr>
          <w:rFonts w:ascii="Times New Roman" w:hAnsi="Times New Roman" w:cs="Times New Roman"/>
          <w:sz w:val="24"/>
          <w:szCs w:val="24"/>
        </w:rPr>
        <w:t>n</w:t>
      </w:r>
      <w:r w:rsidR="00E62A3D">
        <w:rPr>
          <w:rFonts w:ascii="Times New Roman" w:hAnsi="Times New Roman" w:cs="Times New Roman"/>
          <w:sz w:val="24"/>
          <w:szCs w:val="24"/>
        </w:rPr>
        <w:t>es de allanamiento</w:t>
      </w:r>
      <w:r w:rsidR="00EF7861" w:rsidRPr="00C56FBE">
        <w:rPr>
          <w:rFonts w:ascii="Times New Roman" w:hAnsi="Times New Roman" w:cs="Times New Roman"/>
          <w:sz w:val="24"/>
          <w:szCs w:val="24"/>
        </w:rPr>
        <w:t xml:space="preserve">, y la consecuencia que </w:t>
      </w:r>
      <w:r w:rsidR="00E62A3D">
        <w:rPr>
          <w:rFonts w:ascii="Times New Roman" w:hAnsi="Times New Roman" w:cs="Times New Roman"/>
          <w:sz w:val="24"/>
          <w:szCs w:val="24"/>
        </w:rPr>
        <w:t xml:space="preserve">el Juez les ha atribuido: </w:t>
      </w:r>
      <w:r w:rsidR="00EF7861" w:rsidRPr="00C56FBE">
        <w:rPr>
          <w:rFonts w:ascii="Times New Roman" w:hAnsi="Times New Roman" w:cs="Times New Roman"/>
          <w:sz w:val="24"/>
          <w:szCs w:val="24"/>
        </w:rPr>
        <w:t xml:space="preserve">autorizar el allanamiento para “encontrar cosas relevantes para el objeto de la investigación, referido a la recepción de los fondos </w:t>
      </w:r>
      <w:r w:rsidR="00EF7861" w:rsidRPr="00C56FBE">
        <w:rPr>
          <w:rFonts w:ascii="Times New Roman" w:hAnsi="Times New Roman" w:cs="Times New Roman"/>
          <w:sz w:val="24"/>
          <w:szCs w:val="24"/>
        </w:rPr>
        <w:lastRenderedPageBreak/>
        <w:t>ilícitos y/o colocación en el sistema financiero del Partido Político Fuerza 2011 y Fuerza Popular, correspondiente a los años 2010 a 2016”.</w:t>
      </w:r>
    </w:p>
    <w:p w:rsidR="00B875CD" w:rsidRPr="00C56FBE" w:rsidRDefault="00BF2AC2" w:rsidP="00C97E04">
      <w:pPr>
        <w:spacing w:before="120" w:after="120" w:line="320" w:lineRule="exact"/>
        <w:jc w:val="both"/>
        <w:rPr>
          <w:rFonts w:ascii="Times New Roman" w:hAnsi="Times New Roman" w:cs="Times New Roman"/>
          <w:b/>
          <w:sz w:val="24"/>
          <w:szCs w:val="24"/>
        </w:rPr>
      </w:pPr>
      <w:r w:rsidRPr="00C56FBE">
        <w:rPr>
          <w:rFonts w:ascii="Times New Roman" w:hAnsi="Times New Roman" w:cs="Times New Roman"/>
          <w:b/>
          <w:sz w:val="24"/>
          <w:szCs w:val="24"/>
        </w:rPr>
        <w:t>3. Las graves deficiencias de motivación externa</w:t>
      </w:r>
    </w:p>
    <w:p w:rsidR="00867661" w:rsidRDefault="00867661"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La motivación externa reclamada por el contenido constitucional del derecho fundamental a la debida motivación de decisiones, indaga por la validez de la premisa fáctica y la jurídica. De modo que se infringe el referido contenido constitucional, si es que la decisión se adopta con base en premisas fácticas falsas, o con base en premisas normativas inválidas</w:t>
      </w:r>
      <w:r w:rsidR="00607E63">
        <w:rPr>
          <w:rFonts w:ascii="Times New Roman" w:hAnsi="Times New Roman" w:cs="Times New Roman"/>
          <w:sz w:val="24"/>
          <w:szCs w:val="24"/>
        </w:rPr>
        <w:t>, sin que el Juez haya tan siquiera comprobado su veracidad y validez</w:t>
      </w:r>
      <w:r w:rsidRPr="00C56FBE">
        <w:rPr>
          <w:rFonts w:ascii="Times New Roman" w:hAnsi="Times New Roman" w:cs="Times New Roman"/>
          <w:sz w:val="24"/>
          <w:szCs w:val="24"/>
        </w:rPr>
        <w:t>.</w:t>
      </w:r>
    </w:p>
    <w:p w:rsidR="00A83DD2" w:rsidRPr="00C56FBE" w:rsidRDefault="00A83DD2" w:rsidP="00C97E04">
      <w:pPr>
        <w:spacing w:before="120" w:after="120" w:line="320" w:lineRule="exact"/>
        <w:jc w:val="both"/>
        <w:rPr>
          <w:rFonts w:ascii="Times New Roman" w:hAnsi="Times New Roman" w:cs="Times New Roman"/>
          <w:sz w:val="24"/>
          <w:szCs w:val="24"/>
        </w:rPr>
      </w:pPr>
    </w:p>
    <w:p w:rsidR="00506653" w:rsidRPr="00C56FBE" w:rsidRDefault="00506653" w:rsidP="00506653">
      <w:pPr>
        <w:pStyle w:val="Prrafodelista"/>
        <w:numPr>
          <w:ilvl w:val="0"/>
          <w:numId w:val="18"/>
        </w:numPr>
        <w:spacing w:before="120" w:after="120" w:line="320" w:lineRule="exact"/>
        <w:jc w:val="both"/>
        <w:rPr>
          <w:rFonts w:ascii="Times New Roman" w:hAnsi="Times New Roman" w:cs="Times New Roman"/>
          <w:b/>
          <w:sz w:val="24"/>
          <w:szCs w:val="24"/>
        </w:rPr>
      </w:pPr>
      <w:r w:rsidRPr="00C56FBE">
        <w:rPr>
          <w:rFonts w:ascii="Times New Roman" w:hAnsi="Times New Roman" w:cs="Times New Roman"/>
          <w:b/>
          <w:sz w:val="24"/>
          <w:szCs w:val="24"/>
        </w:rPr>
        <w:t>Respecto de la premisa fáctica</w:t>
      </w:r>
    </w:p>
    <w:p w:rsidR="00607E63" w:rsidRDefault="00607E63" w:rsidP="00506653">
      <w:pPr>
        <w:spacing w:before="120" w:after="120" w:line="320" w:lineRule="exact"/>
        <w:jc w:val="both"/>
        <w:rPr>
          <w:rFonts w:ascii="Times New Roman" w:hAnsi="Times New Roman" w:cs="Times New Roman"/>
          <w:sz w:val="24"/>
          <w:szCs w:val="24"/>
        </w:rPr>
      </w:pPr>
      <w:r>
        <w:rPr>
          <w:rFonts w:ascii="Times New Roman" w:hAnsi="Times New Roman" w:cs="Times New Roman"/>
          <w:sz w:val="24"/>
          <w:szCs w:val="24"/>
        </w:rPr>
        <w:t>L</w:t>
      </w:r>
      <w:r w:rsidR="00EF7861" w:rsidRPr="00C56FBE">
        <w:rPr>
          <w:rFonts w:ascii="Times New Roman" w:hAnsi="Times New Roman" w:cs="Times New Roman"/>
          <w:sz w:val="24"/>
          <w:szCs w:val="24"/>
        </w:rPr>
        <w:t xml:space="preserve">as dos deficiencias en la justificación interna </w:t>
      </w:r>
      <w:r>
        <w:rPr>
          <w:rFonts w:ascii="Times New Roman" w:hAnsi="Times New Roman" w:cs="Times New Roman"/>
          <w:sz w:val="24"/>
          <w:szCs w:val="24"/>
        </w:rPr>
        <w:t xml:space="preserve">antes mostradas, </w:t>
      </w:r>
      <w:r w:rsidR="00EF7861" w:rsidRPr="00C56FBE">
        <w:rPr>
          <w:rFonts w:ascii="Times New Roman" w:hAnsi="Times New Roman" w:cs="Times New Roman"/>
          <w:sz w:val="24"/>
          <w:szCs w:val="24"/>
        </w:rPr>
        <w:t xml:space="preserve">son predicables </w:t>
      </w:r>
      <w:r>
        <w:rPr>
          <w:rFonts w:ascii="Times New Roman" w:hAnsi="Times New Roman" w:cs="Times New Roman"/>
          <w:sz w:val="24"/>
          <w:szCs w:val="24"/>
        </w:rPr>
        <w:t xml:space="preserve">tanto </w:t>
      </w:r>
      <w:r w:rsidR="00EF7861" w:rsidRPr="00C56FBE">
        <w:rPr>
          <w:rFonts w:ascii="Times New Roman" w:hAnsi="Times New Roman" w:cs="Times New Roman"/>
          <w:sz w:val="24"/>
          <w:szCs w:val="24"/>
        </w:rPr>
        <w:t xml:space="preserve">de la Resolución 1 </w:t>
      </w:r>
      <w:r>
        <w:rPr>
          <w:rFonts w:ascii="Times New Roman" w:hAnsi="Times New Roman" w:cs="Times New Roman"/>
          <w:sz w:val="24"/>
          <w:szCs w:val="24"/>
        </w:rPr>
        <w:t>como de la</w:t>
      </w:r>
      <w:r w:rsidR="00EF7861" w:rsidRPr="00C56FBE">
        <w:rPr>
          <w:rFonts w:ascii="Times New Roman" w:hAnsi="Times New Roman" w:cs="Times New Roman"/>
          <w:sz w:val="24"/>
          <w:szCs w:val="24"/>
        </w:rPr>
        <w:t xml:space="preserve"> 2. Sin embargo, existe una deficiencia más, y especialmente grave, referida solamente de la Resolución 2. </w:t>
      </w:r>
      <w:r w:rsidR="00F92961" w:rsidRPr="00C56FBE">
        <w:rPr>
          <w:rFonts w:ascii="Times New Roman" w:hAnsi="Times New Roman" w:cs="Times New Roman"/>
          <w:sz w:val="24"/>
          <w:szCs w:val="24"/>
        </w:rPr>
        <w:t>En esta Resolución se autoriza ampliar el allanamiento al inmueble situado en Cal</w:t>
      </w:r>
      <w:r w:rsidR="00313F5C" w:rsidRPr="00C56FBE">
        <w:rPr>
          <w:rFonts w:ascii="Times New Roman" w:hAnsi="Times New Roman" w:cs="Times New Roman"/>
          <w:sz w:val="24"/>
          <w:szCs w:val="24"/>
        </w:rPr>
        <w:t>l</w:t>
      </w:r>
      <w:r w:rsidR="00F92961" w:rsidRPr="00C56FBE">
        <w:rPr>
          <w:rFonts w:ascii="Times New Roman" w:hAnsi="Times New Roman" w:cs="Times New Roman"/>
          <w:sz w:val="24"/>
          <w:szCs w:val="24"/>
        </w:rPr>
        <w:t xml:space="preserve">e Dalton 237, San Borja, porque </w:t>
      </w:r>
    </w:p>
    <w:p w:rsidR="00607E63" w:rsidRDefault="00F92961" w:rsidP="00607E63">
      <w:pPr>
        <w:spacing w:before="120" w:after="120" w:line="320" w:lineRule="exact"/>
        <w:ind w:left="567" w:right="566"/>
        <w:jc w:val="both"/>
        <w:rPr>
          <w:rFonts w:ascii="Times New Roman" w:hAnsi="Times New Roman" w:cs="Times New Roman"/>
          <w:sz w:val="24"/>
          <w:szCs w:val="24"/>
        </w:rPr>
      </w:pPr>
      <w:r w:rsidRPr="00C56FBE">
        <w:rPr>
          <w:rFonts w:ascii="Times New Roman" w:hAnsi="Times New Roman" w:cs="Times New Roman"/>
          <w:sz w:val="24"/>
          <w:szCs w:val="24"/>
        </w:rPr>
        <w:t>“[d]icho inmueble corresponde a las instalaciones de la persona jurídica ESTUDIO ORÉ GUARDIA SOC. CIVIL DE R. LTDA. (RUC 20378814066), cuyo abogado integrante es Edward GARCÍA NAVARRO”</w:t>
      </w:r>
      <w:r w:rsidRPr="00C56FBE">
        <w:rPr>
          <w:rStyle w:val="Refdenotaalpie"/>
          <w:rFonts w:ascii="Times New Roman" w:hAnsi="Times New Roman" w:cs="Times New Roman"/>
          <w:sz w:val="24"/>
          <w:szCs w:val="24"/>
        </w:rPr>
        <w:footnoteReference w:id="12"/>
      </w:r>
      <w:r w:rsidRPr="00C56FBE">
        <w:rPr>
          <w:rFonts w:ascii="Times New Roman" w:hAnsi="Times New Roman" w:cs="Times New Roman"/>
          <w:sz w:val="24"/>
          <w:szCs w:val="24"/>
        </w:rPr>
        <w:t>.</w:t>
      </w:r>
      <w:r w:rsidR="00313F5C" w:rsidRPr="00C56FBE">
        <w:rPr>
          <w:rFonts w:ascii="Times New Roman" w:hAnsi="Times New Roman" w:cs="Times New Roman"/>
          <w:sz w:val="24"/>
          <w:szCs w:val="24"/>
        </w:rPr>
        <w:t xml:space="preserve"> </w:t>
      </w:r>
    </w:p>
    <w:p w:rsidR="004A1C64" w:rsidRDefault="00313F5C"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 xml:space="preserve">Sin embargo, es un hecho cierto que el inmueble allanado que está ubicado en Calle Dalton 237, San Borja, no </w:t>
      </w:r>
      <w:r w:rsidR="00607E63">
        <w:rPr>
          <w:rFonts w:ascii="Times New Roman" w:hAnsi="Times New Roman" w:cs="Times New Roman"/>
          <w:sz w:val="24"/>
          <w:szCs w:val="24"/>
        </w:rPr>
        <w:t>o</w:t>
      </w:r>
      <w:r w:rsidRPr="00C56FBE">
        <w:rPr>
          <w:rFonts w:ascii="Times New Roman" w:hAnsi="Times New Roman" w:cs="Times New Roman"/>
          <w:sz w:val="24"/>
          <w:szCs w:val="24"/>
        </w:rPr>
        <w:t xml:space="preserve">pera el Estudio Oré Guardia, sino que funciona la empresa </w:t>
      </w:r>
      <w:r w:rsidR="00F22063" w:rsidRPr="00C56FBE">
        <w:rPr>
          <w:rFonts w:ascii="Times New Roman" w:hAnsi="Times New Roman" w:cs="Times New Roman"/>
          <w:sz w:val="24"/>
          <w:szCs w:val="24"/>
        </w:rPr>
        <w:t>Asesoría Contable y Empresarial Mansilla S. A. (ACEMSA).</w:t>
      </w:r>
      <w:r w:rsidR="00607E63">
        <w:rPr>
          <w:rFonts w:ascii="Times New Roman" w:hAnsi="Times New Roman" w:cs="Times New Roman"/>
          <w:sz w:val="24"/>
          <w:szCs w:val="24"/>
        </w:rPr>
        <w:t xml:space="preserve"> </w:t>
      </w:r>
    </w:p>
    <w:p w:rsidR="00EF7861" w:rsidRPr="00C56FBE" w:rsidRDefault="00B875CD"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En este punto, puede s</w:t>
      </w:r>
      <w:r w:rsidR="00607E63">
        <w:rPr>
          <w:rFonts w:ascii="Times New Roman" w:hAnsi="Times New Roman" w:cs="Times New Roman"/>
          <w:sz w:val="24"/>
          <w:szCs w:val="24"/>
        </w:rPr>
        <w:t>er dicho que el razonamiento de</w:t>
      </w:r>
      <w:r w:rsidRPr="00C56FBE">
        <w:rPr>
          <w:rFonts w:ascii="Times New Roman" w:hAnsi="Times New Roman" w:cs="Times New Roman"/>
          <w:sz w:val="24"/>
          <w:szCs w:val="24"/>
        </w:rPr>
        <w:t>l</w:t>
      </w:r>
      <w:r w:rsidR="00607E63">
        <w:rPr>
          <w:rFonts w:ascii="Times New Roman" w:hAnsi="Times New Roman" w:cs="Times New Roman"/>
          <w:sz w:val="24"/>
          <w:szCs w:val="24"/>
        </w:rPr>
        <w:t xml:space="preserve"> Juez </w:t>
      </w:r>
      <w:r w:rsidRPr="00C56FBE">
        <w:rPr>
          <w:rFonts w:ascii="Times New Roman" w:hAnsi="Times New Roman" w:cs="Times New Roman"/>
          <w:sz w:val="24"/>
          <w:szCs w:val="24"/>
        </w:rPr>
        <w:t>fue el siguiente</w:t>
      </w:r>
      <w:r w:rsidR="004A1C64">
        <w:rPr>
          <w:rFonts w:ascii="Times New Roman" w:hAnsi="Times New Roman" w:cs="Times New Roman"/>
          <w:sz w:val="24"/>
          <w:szCs w:val="24"/>
        </w:rPr>
        <w:t xml:space="preserve"> EN SU Resolución 1</w:t>
      </w:r>
      <w:r w:rsidRPr="00C56FBE">
        <w:rPr>
          <w:rFonts w:ascii="Times New Roman" w:hAnsi="Times New Roman" w:cs="Times New Roman"/>
          <w:sz w:val="24"/>
          <w:szCs w:val="24"/>
        </w:rPr>
        <w:t>:</w:t>
      </w:r>
    </w:p>
    <w:p w:rsidR="00B875CD" w:rsidRPr="00C56FBE" w:rsidRDefault="00B875CD" w:rsidP="00867661">
      <w:pPr>
        <w:spacing w:before="120" w:after="120" w:line="320" w:lineRule="exact"/>
        <w:ind w:left="567" w:right="566"/>
        <w:jc w:val="both"/>
        <w:rPr>
          <w:rFonts w:ascii="Times New Roman" w:hAnsi="Times New Roman" w:cs="Times New Roman"/>
          <w:sz w:val="24"/>
          <w:szCs w:val="24"/>
        </w:rPr>
      </w:pPr>
      <w:r w:rsidRPr="00400F4D">
        <w:rPr>
          <w:rFonts w:ascii="Times New Roman" w:hAnsi="Times New Roman" w:cs="Times New Roman"/>
          <w:b/>
          <w:sz w:val="24"/>
          <w:szCs w:val="24"/>
        </w:rPr>
        <w:t>PN:</w:t>
      </w:r>
      <w:r w:rsidRPr="00C56FBE">
        <w:rPr>
          <w:rFonts w:ascii="Times New Roman" w:hAnsi="Times New Roman" w:cs="Times New Roman"/>
          <w:sz w:val="24"/>
          <w:szCs w:val="24"/>
        </w:rPr>
        <w:t xml:space="preserve"> </w:t>
      </w:r>
      <w:r w:rsidR="00186C82" w:rsidRPr="00C56FBE">
        <w:rPr>
          <w:rFonts w:ascii="Times New Roman" w:hAnsi="Times New Roman" w:cs="Times New Roman"/>
          <w:sz w:val="24"/>
          <w:szCs w:val="24"/>
        </w:rPr>
        <w:t xml:space="preserve">Si es un </w:t>
      </w:r>
      <w:r w:rsidRPr="00C56FBE">
        <w:rPr>
          <w:rFonts w:ascii="Times New Roman" w:hAnsi="Times New Roman" w:cs="Times New Roman"/>
          <w:sz w:val="24"/>
          <w:szCs w:val="24"/>
        </w:rPr>
        <w:t xml:space="preserve">inmueble </w:t>
      </w:r>
      <w:r w:rsidR="00313F5C" w:rsidRPr="00C56FBE">
        <w:rPr>
          <w:rFonts w:ascii="Times New Roman" w:hAnsi="Times New Roman" w:cs="Times New Roman"/>
          <w:sz w:val="24"/>
          <w:szCs w:val="24"/>
        </w:rPr>
        <w:t xml:space="preserve">que ocupa </w:t>
      </w:r>
      <w:r w:rsidRPr="00C56FBE">
        <w:rPr>
          <w:rFonts w:ascii="Times New Roman" w:hAnsi="Times New Roman" w:cs="Times New Roman"/>
          <w:sz w:val="24"/>
          <w:szCs w:val="24"/>
        </w:rPr>
        <w:t>el Estudio Oré guardia</w:t>
      </w:r>
      <w:r w:rsidR="00186C82" w:rsidRPr="00C56FBE">
        <w:rPr>
          <w:rFonts w:ascii="Times New Roman" w:hAnsi="Times New Roman" w:cs="Times New Roman"/>
          <w:sz w:val="24"/>
          <w:szCs w:val="24"/>
        </w:rPr>
        <w:t>, entonces, está permitido allanarlo</w:t>
      </w:r>
    </w:p>
    <w:p w:rsidR="00B875CD" w:rsidRPr="00C56FBE" w:rsidRDefault="00B875CD" w:rsidP="00867661">
      <w:pPr>
        <w:spacing w:before="120" w:after="120" w:line="320" w:lineRule="exact"/>
        <w:ind w:left="567" w:right="566"/>
        <w:jc w:val="both"/>
        <w:rPr>
          <w:rFonts w:ascii="Times New Roman" w:hAnsi="Times New Roman" w:cs="Times New Roman"/>
          <w:sz w:val="24"/>
          <w:szCs w:val="24"/>
        </w:rPr>
      </w:pPr>
      <w:r w:rsidRPr="00400F4D">
        <w:rPr>
          <w:rFonts w:ascii="Times New Roman" w:hAnsi="Times New Roman" w:cs="Times New Roman"/>
          <w:b/>
          <w:sz w:val="24"/>
          <w:szCs w:val="24"/>
        </w:rPr>
        <w:t>PF:</w:t>
      </w:r>
      <w:r w:rsidRPr="00C56FBE">
        <w:rPr>
          <w:rFonts w:ascii="Times New Roman" w:hAnsi="Times New Roman" w:cs="Times New Roman"/>
          <w:sz w:val="24"/>
          <w:szCs w:val="24"/>
        </w:rPr>
        <w:t xml:space="preserve"> El inmueble ubicado en Calle Dalton 229</w:t>
      </w:r>
      <w:r w:rsidR="00313F5C" w:rsidRPr="00C56FBE">
        <w:rPr>
          <w:rFonts w:ascii="Times New Roman" w:hAnsi="Times New Roman" w:cs="Times New Roman"/>
          <w:sz w:val="24"/>
          <w:szCs w:val="24"/>
        </w:rPr>
        <w:t>, San Borja,</w:t>
      </w:r>
      <w:r w:rsidRPr="00C56FBE">
        <w:rPr>
          <w:rFonts w:ascii="Times New Roman" w:hAnsi="Times New Roman" w:cs="Times New Roman"/>
          <w:sz w:val="24"/>
          <w:szCs w:val="24"/>
        </w:rPr>
        <w:t xml:space="preserve"> es</w:t>
      </w:r>
      <w:r w:rsidR="00313F5C" w:rsidRPr="00C56FBE">
        <w:rPr>
          <w:rFonts w:ascii="Times New Roman" w:hAnsi="Times New Roman" w:cs="Times New Roman"/>
          <w:sz w:val="24"/>
          <w:szCs w:val="24"/>
        </w:rPr>
        <w:t xml:space="preserve">tá ocupado por </w:t>
      </w:r>
      <w:r w:rsidRPr="00C56FBE">
        <w:rPr>
          <w:rFonts w:ascii="Times New Roman" w:hAnsi="Times New Roman" w:cs="Times New Roman"/>
          <w:sz w:val="24"/>
          <w:szCs w:val="24"/>
        </w:rPr>
        <w:t>el Estudio Oré Guardia</w:t>
      </w:r>
    </w:p>
    <w:p w:rsidR="00B875CD" w:rsidRPr="00C56FBE" w:rsidRDefault="00B875CD" w:rsidP="00867661">
      <w:pPr>
        <w:spacing w:before="120" w:after="120" w:line="320" w:lineRule="exact"/>
        <w:ind w:left="567" w:right="566"/>
        <w:jc w:val="both"/>
        <w:rPr>
          <w:rFonts w:ascii="Times New Roman" w:hAnsi="Times New Roman" w:cs="Times New Roman"/>
          <w:sz w:val="24"/>
          <w:szCs w:val="24"/>
        </w:rPr>
      </w:pPr>
      <w:r w:rsidRPr="00400F4D">
        <w:rPr>
          <w:rFonts w:ascii="Times New Roman" w:hAnsi="Times New Roman" w:cs="Times New Roman"/>
          <w:b/>
          <w:sz w:val="24"/>
          <w:szCs w:val="24"/>
        </w:rPr>
        <w:t>I:</w:t>
      </w:r>
      <w:r w:rsidRPr="00C56FBE">
        <w:rPr>
          <w:rFonts w:ascii="Times New Roman" w:hAnsi="Times New Roman" w:cs="Times New Roman"/>
          <w:sz w:val="24"/>
          <w:szCs w:val="24"/>
        </w:rPr>
        <w:t xml:space="preserve"> Está permitido allanar el inmueble ubicado en Calle Dalton 229</w:t>
      </w:r>
      <w:r w:rsidR="00313F5C" w:rsidRPr="00C56FBE">
        <w:rPr>
          <w:rFonts w:ascii="Times New Roman" w:hAnsi="Times New Roman" w:cs="Times New Roman"/>
          <w:sz w:val="24"/>
          <w:szCs w:val="24"/>
        </w:rPr>
        <w:t>, San Borja</w:t>
      </w:r>
      <w:r w:rsidRPr="00C56FBE">
        <w:rPr>
          <w:rFonts w:ascii="Times New Roman" w:hAnsi="Times New Roman" w:cs="Times New Roman"/>
          <w:sz w:val="24"/>
          <w:szCs w:val="24"/>
        </w:rPr>
        <w:t>.</w:t>
      </w:r>
    </w:p>
    <w:p w:rsidR="00F92961" w:rsidRPr="00C56FBE" w:rsidRDefault="00B875CD"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 xml:space="preserve">Como se sabe bien, según la regla de inferencia MODUS PONENS, si la premisa normativa (PN) es válida, y la premisa fáctica (PF) es verdadera, entonces la inferencia </w:t>
      </w:r>
      <w:r w:rsidR="004A1C64">
        <w:rPr>
          <w:rFonts w:ascii="Times New Roman" w:hAnsi="Times New Roman" w:cs="Times New Roman"/>
          <w:sz w:val="24"/>
          <w:szCs w:val="24"/>
        </w:rPr>
        <w:t>(</w:t>
      </w:r>
      <w:r w:rsidRPr="00C56FBE">
        <w:rPr>
          <w:rFonts w:ascii="Times New Roman" w:hAnsi="Times New Roman" w:cs="Times New Roman"/>
          <w:sz w:val="24"/>
          <w:szCs w:val="24"/>
        </w:rPr>
        <w:t>I</w:t>
      </w:r>
      <w:r w:rsidR="004A1C64">
        <w:rPr>
          <w:rFonts w:ascii="Times New Roman" w:hAnsi="Times New Roman" w:cs="Times New Roman"/>
          <w:sz w:val="24"/>
          <w:szCs w:val="24"/>
        </w:rPr>
        <w:t>)</w:t>
      </w:r>
      <w:r w:rsidRPr="00C56FBE">
        <w:rPr>
          <w:rFonts w:ascii="Times New Roman" w:hAnsi="Times New Roman" w:cs="Times New Roman"/>
          <w:sz w:val="24"/>
          <w:szCs w:val="24"/>
        </w:rPr>
        <w:t xml:space="preserve"> será verdadera. Así, asumiendo </w:t>
      </w:r>
      <w:r w:rsidR="00313F5C" w:rsidRPr="00C56FBE">
        <w:rPr>
          <w:rFonts w:ascii="Times New Roman" w:hAnsi="Times New Roman" w:cs="Times New Roman"/>
          <w:sz w:val="24"/>
          <w:szCs w:val="24"/>
        </w:rPr>
        <w:t xml:space="preserve">que </w:t>
      </w:r>
      <w:r w:rsidRPr="00C56FBE">
        <w:rPr>
          <w:rFonts w:ascii="Times New Roman" w:hAnsi="Times New Roman" w:cs="Times New Roman"/>
          <w:sz w:val="24"/>
          <w:szCs w:val="24"/>
        </w:rPr>
        <w:t>la PN</w:t>
      </w:r>
      <w:r w:rsidR="00313F5C" w:rsidRPr="00C56FBE">
        <w:rPr>
          <w:rFonts w:ascii="Times New Roman" w:hAnsi="Times New Roman" w:cs="Times New Roman"/>
          <w:sz w:val="24"/>
          <w:szCs w:val="24"/>
        </w:rPr>
        <w:t xml:space="preserve"> es válida</w:t>
      </w:r>
      <w:r w:rsidRPr="00C56FBE">
        <w:rPr>
          <w:rFonts w:ascii="Times New Roman" w:hAnsi="Times New Roman" w:cs="Times New Roman"/>
          <w:sz w:val="24"/>
          <w:szCs w:val="24"/>
        </w:rPr>
        <w:t>, asunto que se discutirá inmedi</w:t>
      </w:r>
      <w:r w:rsidR="004A1C64">
        <w:rPr>
          <w:rFonts w:ascii="Times New Roman" w:hAnsi="Times New Roman" w:cs="Times New Roman"/>
          <w:sz w:val="24"/>
          <w:szCs w:val="24"/>
        </w:rPr>
        <w:t>atamente, y reconociendo veracidad</w:t>
      </w:r>
      <w:r w:rsidRPr="00C56FBE">
        <w:rPr>
          <w:rFonts w:ascii="Times New Roman" w:hAnsi="Times New Roman" w:cs="Times New Roman"/>
          <w:sz w:val="24"/>
          <w:szCs w:val="24"/>
        </w:rPr>
        <w:t xml:space="preserve"> a la PF, entonces, se debe reconocer la validez de  </w:t>
      </w:r>
      <w:r w:rsidR="004A1C64">
        <w:rPr>
          <w:rFonts w:ascii="Times New Roman" w:hAnsi="Times New Roman" w:cs="Times New Roman"/>
          <w:sz w:val="24"/>
          <w:szCs w:val="24"/>
        </w:rPr>
        <w:t>I</w:t>
      </w:r>
      <w:r w:rsidRPr="00C56FBE">
        <w:rPr>
          <w:rFonts w:ascii="Times New Roman" w:hAnsi="Times New Roman" w:cs="Times New Roman"/>
          <w:sz w:val="24"/>
          <w:szCs w:val="24"/>
        </w:rPr>
        <w:t>. Esto permite reconocer validez a la Resolución 1 a la hora que dec</w:t>
      </w:r>
      <w:r w:rsidR="00313F5C" w:rsidRPr="00C56FBE">
        <w:rPr>
          <w:rFonts w:ascii="Times New Roman" w:hAnsi="Times New Roman" w:cs="Times New Roman"/>
          <w:sz w:val="24"/>
          <w:szCs w:val="24"/>
        </w:rPr>
        <w:t>ide el allanamiento respecto del inmueble ubicado en Calle Dalton 229, San Borja.</w:t>
      </w:r>
    </w:p>
    <w:p w:rsidR="00313F5C" w:rsidRPr="00C56FBE" w:rsidRDefault="00313F5C"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lastRenderedPageBreak/>
        <w:t>Pero es bien distinto el resultado respecto de la Resolución 2. En efecto, el razonamiento que la sostiene es el siguiente:</w:t>
      </w:r>
    </w:p>
    <w:p w:rsidR="00186C82" w:rsidRPr="00C56FBE" w:rsidRDefault="00186C82" w:rsidP="00506653">
      <w:pPr>
        <w:spacing w:before="120" w:after="120" w:line="320" w:lineRule="exact"/>
        <w:ind w:left="567" w:right="566"/>
        <w:jc w:val="both"/>
        <w:rPr>
          <w:rFonts w:ascii="Times New Roman" w:hAnsi="Times New Roman" w:cs="Times New Roman"/>
          <w:sz w:val="24"/>
          <w:szCs w:val="24"/>
        </w:rPr>
      </w:pPr>
      <w:r w:rsidRPr="00400F4D">
        <w:rPr>
          <w:rFonts w:ascii="Times New Roman" w:hAnsi="Times New Roman" w:cs="Times New Roman"/>
          <w:b/>
          <w:sz w:val="24"/>
          <w:szCs w:val="24"/>
        </w:rPr>
        <w:t>PN:</w:t>
      </w:r>
      <w:r w:rsidRPr="00C56FBE">
        <w:rPr>
          <w:rFonts w:ascii="Times New Roman" w:hAnsi="Times New Roman" w:cs="Times New Roman"/>
          <w:sz w:val="24"/>
          <w:szCs w:val="24"/>
        </w:rPr>
        <w:t xml:space="preserve"> Si es un inmueble que ocupa el Estudio Oré guardia, entonces, está permitido allanarlo </w:t>
      </w:r>
    </w:p>
    <w:p w:rsidR="00313F5C" w:rsidRPr="00C56FBE" w:rsidRDefault="00313F5C" w:rsidP="00506653">
      <w:pPr>
        <w:spacing w:before="120" w:after="120" w:line="320" w:lineRule="exact"/>
        <w:ind w:left="567" w:right="566"/>
        <w:jc w:val="both"/>
        <w:rPr>
          <w:rFonts w:ascii="Times New Roman" w:hAnsi="Times New Roman" w:cs="Times New Roman"/>
          <w:sz w:val="24"/>
          <w:szCs w:val="24"/>
        </w:rPr>
      </w:pPr>
      <w:r w:rsidRPr="00400F4D">
        <w:rPr>
          <w:rFonts w:ascii="Times New Roman" w:hAnsi="Times New Roman" w:cs="Times New Roman"/>
          <w:b/>
          <w:sz w:val="24"/>
          <w:szCs w:val="24"/>
        </w:rPr>
        <w:t>PF:</w:t>
      </w:r>
      <w:r w:rsidRPr="00C56FBE">
        <w:rPr>
          <w:rFonts w:ascii="Times New Roman" w:hAnsi="Times New Roman" w:cs="Times New Roman"/>
          <w:sz w:val="24"/>
          <w:szCs w:val="24"/>
        </w:rPr>
        <w:t xml:space="preserve"> El inmueble ubicado en Calle Dalton 237, San Borja, está ocupado por el Estudio Oré Guardia</w:t>
      </w:r>
      <w:r w:rsidR="00F22063" w:rsidRPr="00C56FBE">
        <w:rPr>
          <w:rFonts w:ascii="Times New Roman" w:hAnsi="Times New Roman" w:cs="Times New Roman"/>
          <w:sz w:val="24"/>
          <w:szCs w:val="24"/>
        </w:rPr>
        <w:t>.</w:t>
      </w:r>
    </w:p>
    <w:p w:rsidR="00313F5C" w:rsidRPr="00C56FBE" w:rsidRDefault="00313F5C" w:rsidP="00506653">
      <w:pPr>
        <w:spacing w:before="120" w:after="120" w:line="320" w:lineRule="exact"/>
        <w:ind w:left="567" w:right="566"/>
        <w:jc w:val="both"/>
        <w:rPr>
          <w:rFonts w:ascii="Times New Roman" w:hAnsi="Times New Roman" w:cs="Times New Roman"/>
          <w:sz w:val="24"/>
          <w:szCs w:val="24"/>
        </w:rPr>
      </w:pPr>
      <w:r w:rsidRPr="00400F4D">
        <w:rPr>
          <w:rFonts w:ascii="Times New Roman" w:hAnsi="Times New Roman" w:cs="Times New Roman"/>
          <w:b/>
          <w:sz w:val="24"/>
          <w:szCs w:val="24"/>
        </w:rPr>
        <w:t>I:</w:t>
      </w:r>
      <w:r w:rsidRPr="00C56FBE">
        <w:rPr>
          <w:rFonts w:ascii="Times New Roman" w:hAnsi="Times New Roman" w:cs="Times New Roman"/>
          <w:sz w:val="24"/>
          <w:szCs w:val="24"/>
        </w:rPr>
        <w:t xml:space="preserve"> Está permitido allanar el inmueble ubicado en Calle Dalton 237, San Borja.</w:t>
      </w:r>
    </w:p>
    <w:p w:rsidR="00F22063" w:rsidRDefault="00F22063"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 xml:space="preserve">Para reconocerle validez a la inferencia I, debe reconocerse validez tanto a la PN, como a la PF. Sin embargo, la PF es </w:t>
      </w:r>
      <w:r w:rsidR="004A1C64">
        <w:rPr>
          <w:rFonts w:ascii="Times New Roman" w:hAnsi="Times New Roman" w:cs="Times New Roman"/>
          <w:sz w:val="24"/>
          <w:szCs w:val="24"/>
        </w:rPr>
        <w:t xml:space="preserve">manifiestamente </w:t>
      </w:r>
      <w:r w:rsidRPr="00C56FBE">
        <w:rPr>
          <w:rFonts w:ascii="Times New Roman" w:hAnsi="Times New Roman" w:cs="Times New Roman"/>
          <w:sz w:val="24"/>
          <w:szCs w:val="24"/>
        </w:rPr>
        <w:t>falsa porque, como se ha dicho, en la Calle Dalton 237 no funciona el Estudio Oré Guardia, sino la empresa Asesoría Contable y Empresarial Mansilla S. A. (ACEMSA), respecto de la cual no se ha formulado ningún argumento que justifique allanar el inmueble que ocupa. Consecuentemente, no es posible reconocer validez a la inferencia I.</w:t>
      </w:r>
      <w:r w:rsidR="004A1C64">
        <w:rPr>
          <w:rFonts w:ascii="Times New Roman" w:hAnsi="Times New Roman" w:cs="Times New Roman"/>
          <w:sz w:val="24"/>
          <w:szCs w:val="24"/>
        </w:rPr>
        <w:t xml:space="preserve"> Es más, el Juez ni tan siquiera se plantea la veracidad de esta PN, sencillamente la asume como verdadera sin dar ninguna razón. </w:t>
      </w:r>
    </w:p>
    <w:p w:rsidR="00A83DD2" w:rsidRPr="00C56FBE" w:rsidRDefault="00A83DD2" w:rsidP="00C97E04">
      <w:pPr>
        <w:spacing w:before="120" w:after="120" w:line="320" w:lineRule="exact"/>
        <w:jc w:val="both"/>
        <w:rPr>
          <w:rFonts w:ascii="Times New Roman" w:hAnsi="Times New Roman" w:cs="Times New Roman"/>
          <w:sz w:val="24"/>
          <w:szCs w:val="24"/>
        </w:rPr>
      </w:pPr>
    </w:p>
    <w:p w:rsidR="00313F5C" w:rsidRPr="00C56FBE" w:rsidRDefault="00506653" w:rsidP="00506653">
      <w:pPr>
        <w:pStyle w:val="Prrafodelista"/>
        <w:numPr>
          <w:ilvl w:val="0"/>
          <w:numId w:val="18"/>
        </w:numPr>
        <w:spacing w:before="120" w:after="120" w:line="320" w:lineRule="exact"/>
        <w:jc w:val="both"/>
        <w:rPr>
          <w:rFonts w:ascii="Times New Roman" w:hAnsi="Times New Roman" w:cs="Times New Roman"/>
          <w:b/>
          <w:sz w:val="24"/>
          <w:szCs w:val="24"/>
        </w:rPr>
      </w:pPr>
      <w:r w:rsidRPr="00C56FBE">
        <w:rPr>
          <w:rFonts w:ascii="Times New Roman" w:hAnsi="Times New Roman" w:cs="Times New Roman"/>
          <w:b/>
          <w:sz w:val="24"/>
          <w:szCs w:val="24"/>
        </w:rPr>
        <w:t>Respecto de la premisa normativa</w:t>
      </w:r>
    </w:p>
    <w:p w:rsidR="00C314A3" w:rsidRPr="00C56FBE" w:rsidRDefault="00867661"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 xml:space="preserve">El contenido constitucional del derecho fundamental a la adecuada motivación de decisiones reclama que </w:t>
      </w:r>
      <w:r w:rsidR="00C314A3" w:rsidRPr="00C56FBE">
        <w:rPr>
          <w:rFonts w:ascii="Times New Roman" w:hAnsi="Times New Roman" w:cs="Times New Roman"/>
          <w:sz w:val="24"/>
          <w:szCs w:val="24"/>
        </w:rPr>
        <w:t xml:space="preserve">haya sido analizada la validez material de </w:t>
      </w:r>
      <w:r w:rsidRPr="00C56FBE">
        <w:rPr>
          <w:rFonts w:ascii="Times New Roman" w:hAnsi="Times New Roman" w:cs="Times New Roman"/>
          <w:sz w:val="24"/>
          <w:szCs w:val="24"/>
        </w:rPr>
        <w:t xml:space="preserve">la premisa normativa sobre la cual se construye la decisión. </w:t>
      </w:r>
      <w:r w:rsidR="00C314A3" w:rsidRPr="00C56FBE">
        <w:rPr>
          <w:rFonts w:ascii="Times New Roman" w:hAnsi="Times New Roman" w:cs="Times New Roman"/>
          <w:sz w:val="24"/>
          <w:szCs w:val="24"/>
        </w:rPr>
        <w:t>Una premisa normativa es materialmente válida cuando se ajusta</w:t>
      </w:r>
      <w:r w:rsidRPr="00C56FBE">
        <w:rPr>
          <w:rFonts w:ascii="Times New Roman" w:hAnsi="Times New Roman" w:cs="Times New Roman"/>
          <w:sz w:val="24"/>
          <w:szCs w:val="24"/>
        </w:rPr>
        <w:t xml:space="preserve"> a la Constitución, p</w:t>
      </w:r>
      <w:r w:rsidR="00C314A3" w:rsidRPr="00C56FBE">
        <w:rPr>
          <w:rFonts w:ascii="Times New Roman" w:hAnsi="Times New Roman" w:cs="Times New Roman"/>
          <w:sz w:val="24"/>
          <w:szCs w:val="24"/>
        </w:rPr>
        <w:t>articularmente, cuando se ajusta</w:t>
      </w:r>
      <w:r w:rsidRPr="00C56FBE">
        <w:rPr>
          <w:rFonts w:ascii="Times New Roman" w:hAnsi="Times New Roman" w:cs="Times New Roman"/>
          <w:sz w:val="24"/>
          <w:szCs w:val="24"/>
        </w:rPr>
        <w:t xml:space="preserve"> al contenido constitucional de los derechos fundamentales. De modo que </w:t>
      </w:r>
      <w:r w:rsidR="00C314A3" w:rsidRPr="00C56FBE">
        <w:rPr>
          <w:rFonts w:ascii="Times New Roman" w:hAnsi="Times New Roman" w:cs="Times New Roman"/>
          <w:sz w:val="24"/>
          <w:szCs w:val="24"/>
        </w:rPr>
        <w:t>se vulnera el derecho a la adecuada motivación de decisiones si el Juez no ha revisado o lo ha hecho solo aparentemente, el ajustamiento de la premisa normativa a los derechos fundamentales.</w:t>
      </w:r>
    </w:p>
    <w:p w:rsidR="00C314A3" w:rsidRPr="00C56FBE" w:rsidRDefault="00C314A3"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 xml:space="preserve">En las Resoluciones 1 y 2 existe un apartado </w:t>
      </w:r>
      <w:r w:rsidR="007F3EB5" w:rsidRPr="00C56FBE">
        <w:rPr>
          <w:rFonts w:ascii="Times New Roman" w:hAnsi="Times New Roman" w:cs="Times New Roman"/>
          <w:sz w:val="24"/>
          <w:szCs w:val="24"/>
        </w:rPr>
        <w:t xml:space="preserve">(el punto Octavo), destinado a la aplicación del test de proporcionalidad. Pero, vistas las cosas de modo estricto, se trata de una aplicación tan mal concebida </w:t>
      </w:r>
      <w:r w:rsidR="004A1C64">
        <w:rPr>
          <w:rFonts w:ascii="Times New Roman" w:hAnsi="Times New Roman" w:cs="Times New Roman"/>
          <w:sz w:val="24"/>
          <w:szCs w:val="24"/>
        </w:rPr>
        <w:t xml:space="preserve">y muy mal ejecutada, </w:t>
      </w:r>
      <w:r w:rsidR="007F3EB5" w:rsidRPr="00C56FBE">
        <w:rPr>
          <w:rFonts w:ascii="Times New Roman" w:hAnsi="Times New Roman" w:cs="Times New Roman"/>
          <w:sz w:val="24"/>
          <w:szCs w:val="24"/>
        </w:rPr>
        <w:t>que es posible reconocer que es solo una aparente</w:t>
      </w:r>
      <w:r w:rsidR="004A1C64">
        <w:rPr>
          <w:rFonts w:ascii="Times New Roman" w:hAnsi="Times New Roman" w:cs="Times New Roman"/>
          <w:sz w:val="24"/>
          <w:szCs w:val="24"/>
        </w:rPr>
        <w:t xml:space="preserve"> aplicación de tal test. Como efectivamente es una aplicación solo aparente</w:t>
      </w:r>
      <w:r w:rsidR="002E1B09">
        <w:rPr>
          <w:rFonts w:ascii="Times New Roman" w:hAnsi="Times New Roman" w:cs="Times New Roman"/>
          <w:sz w:val="24"/>
          <w:szCs w:val="24"/>
        </w:rPr>
        <w:t xml:space="preserve"> por su manifiesta incorrección</w:t>
      </w:r>
      <w:r w:rsidR="004A1C64">
        <w:rPr>
          <w:rFonts w:ascii="Times New Roman" w:hAnsi="Times New Roman" w:cs="Times New Roman"/>
          <w:sz w:val="24"/>
          <w:szCs w:val="24"/>
        </w:rPr>
        <w:t xml:space="preserve">, el Juez </w:t>
      </w:r>
      <w:r w:rsidR="007F3EB5" w:rsidRPr="00C56FBE">
        <w:rPr>
          <w:rFonts w:ascii="Times New Roman" w:hAnsi="Times New Roman" w:cs="Times New Roman"/>
          <w:sz w:val="24"/>
          <w:szCs w:val="24"/>
        </w:rPr>
        <w:t>llega a concluir que la medida de allanamiento cumple con las exigencias del principio de proporcionalidad, cuando realmente no es así.</w:t>
      </w:r>
    </w:p>
    <w:p w:rsidR="002E1B09" w:rsidRDefault="002E1B09" w:rsidP="00C97E04">
      <w:pPr>
        <w:spacing w:before="120" w:after="120" w:line="320" w:lineRule="exact"/>
        <w:jc w:val="both"/>
        <w:rPr>
          <w:rFonts w:ascii="Times New Roman" w:hAnsi="Times New Roman" w:cs="Times New Roman"/>
          <w:sz w:val="24"/>
          <w:szCs w:val="24"/>
        </w:rPr>
      </w:pPr>
      <w:r>
        <w:rPr>
          <w:rFonts w:ascii="Times New Roman" w:hAnsi="Times New Roman" w:cs="Times New Roman"/>
          <w:sz w:val="24"/>
          <w:szCs w:val="24"/>
        </w:rPr>
        <w:t>En primero lugar, el Juez n</w:t>
      </w:r>
      <w:r w:rsidR="007F3EB5" w:rsidRPr="00C56FBE">
        <w:rPr>
          <w:rFonts w:ascii="Times New Roman" w:hAnsi="Times New Roman" w:cs="Times New Roman"/>
          <w:sz w:val="24"/>
          <w:szCs w:val="24"/>
        </w:rPr>
        <w:t>o ha definido los derechos fundamentales o bienes jurídicos constitucionales en conflicto</w:t>
      </w:r>
      <w:r>
        <w:rPr>
          <w:rFonts w:ascii="Times New Roman" w:hAnsi="Times New Roman" w:cs="Times New Roman"/>
          <w:sz w:val="24"/>
          <w:szCs w:val="24"/>
        </w:rPr>
        <w:t xml:space="preserve">, lo que le lleva a </w:t>
      </w:r>
      <w:r w:rsidR="007F3EB5" w:rsidRPr="00C56FBE">
        <w:rPr>
          <w:rFonts w:ascii="Times New Roman" w:hAnsi="Times New Roman" w:cs="Times New Roman"/>
          <w:sz w:val="24"/>
          <w:szCs w:val="24"/>
        </w:rPr>
        <w:t>aplica</w:t>
      </w:r>
      <w:r>
        <w:rPr>
          <w:rFonts w:ascii="Times New Roman" w:hAnsi="Times New Roman" w:cs="Times New Roman"/>
          <w:sz w:val="24"/>
          <w:szCs w:val="24"/>
        </w:rPr>
        <w:t>r</w:t>
      </w:r>
      <w:r w:rsidR="007F3EB5" w:rsidRPr="00C56FBE">
        <w:rPr>
          <w:rFonts w:ascii="Times New Roman" w:hAnsi="Times New Roman" w:cs="Times New Roman"/>
          <w:sz w:val="24"/>
          <w:szCs w:val="24"/>
        </w:rPr>
        <w:t xml:space="preserve"> los tres juicios de la proporcionalidad sin rigor alguno. En el apartado siguiente me referiré a los juicios de idoneidad y de necesidad. Ahora solamente haré referencia al de proporcionalidad en sentido estricto o ponderación. En relación a este </w:t>
      </w:r>
      <w:r>
        <w:rPr>
          <w:rFonts w:ascii="Times New Roman" w:hAnsi="Times New Roman" w:cs="Times New Roman"/>
          <w:sz w:val="24"/>
          <w:szCs w:val="24"/>
        </w:rPr>
        <w:t>juicio, el Juez</w:t>
      </w:r>
      <w:r w:rsidR="007F3EB5" w:rsidRPr="00C56FBE">
        <w:rPr>
          <w:rFonts w:ascii="Times New Roman" w:hAnsi="Times New Roman" w:cs="Times New Roman"/>
          <w:sz w:val="24"/>
          <w:szCs w:val="24"/>
        </w:rPr>
        <w:t xml:space="preserve"> sostiene </w:t>
      </w:r>
      <w:r>
        <w:rPr>
          <w:rFonts w:ascii="Times New Roman" w:hAnsi="Times New Roman" w:cs="Times New Roman"/>
          <w:sz w:val="24"/>
          <w:szCs w:val="24"/>
        </w:rPr>
        <w:t xml:space="preserve">únicamente lo siguiente: </w:t>
      </w:r>
      <w:r w:rsidR="007F3EB5" w:rsidRPr="00C56FBE">
        <w:rPr>
          <w:rFonts w:ascii="Times New Roman" w:hAnsi="Times New Roman" w:cs="Times New Roman"/>
          <w:sz w:val="24"/>
          <w:szCs w:val="24"/>
        </w:rPr>
        <w:t xml:space="preserve"> </w:t>
      </w:r>
    </w:p>
    <w:p w:rsidR="007F3EB5" w:rsidRPr="00C56FBE" w:rsidRDefault="007F3EB5" w:rsidP="002E1B09">
      <w:pPr>
        <w:spacing w:before="120" w:after="120" w:line="320" w:lineRule="exact"/>
        <w:ind w:left="567" w:right="566"/>
        <w:jc w:val="both"/>
        <w:rPr>
          <w:rFonts w:ascii="Times New Roman" w:hAnsi="Times New Roman" w:cs="Times New Roman"/>
          <w:sz w:val="24"/>
          <w:szCs w:val="24"/>
        </w:rPr>
      </w:pPr>
      <w:r w:rsidRPr="00C56FBE">
        <w:rPr>
          <w:rFonts w:ascii="Times New Roman" w:hAnsi="Times New Roman" w:cs="Times New Roman"/>
          <w:sz w:val="24"/>
          <w:szCs w:val="24"/>
        </w:rPr>
        <w:t xml:space="preserve">“[e]n el presente caso, la afectación a la inviolabilidad del bien inmueble materia (…) de la medida de allanamiento (Estudio Jurídico Oré Guardia) estaría justificado, en la medida que es probable que en su interior se </w:t>
      </w:r>
      <w:r w:rsidRPr="00C56FBE">
        <w:rPr>
          <w:rFonts w:ascii="Times New Roman" w:hAnsi="Times New Roman" w:cs="Times New Roman"/>
          <w:sz w:val="24"/>
          <w:szCs w:val="24"/>
        </w:rPr>
        <w:lastRenderedPageBreak/>
        <w:t>encuentren cosas relevantes para la investigación, entre ellos, cosas relacionadas con la recepción de fondos ilícitos, colocación de los aportes en el sistema financiero y obstaculización a la actividad probatoria de aportantes falsos”</w:t>
      </w:r>
      <w:r w:rsidR="003337EA">
        <w:rPr>
          <w:rStyle w:val="Refdenotaalpie"/>
          <w:rFonts w:ascii="Times New Roman" w:hAnsi="Times New Roman" w:cs="Times New Roman"/>
          <w:sz w:val="24"/>
          <w:szCs w:val="24"/>
        </w:rPr>
        <w:footnoteReference w:id="13"/>
      </w:r>
      <w:r w:rsidRPr="00C56FBE">
        <w:rPr>
          <w:rFonts w:ascii="Times New Roman" w:hAnsi="Times New Roman" w:cs="Times New Roman"/>
          <w:sz w:val="24"/>
          <w:szCs w:val="24"/>
        </w:rPr>
        <w:t>.</w:t>
      </w:r>
    </w:p>
    <w:p w:rsidR="007F3EB5" w:rsidRPr="00C56FBE" w:rsidRDefault="007F3EB5"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Como se sabe, el principio de proporcionalidad en sentido estricto o también llamado ponderación</w:t>
      </w:r>
      <w:r w:rsidR="002E1B09">
        <w:rPr>
          <w:rFonts w:ascii="Times New Roman" w:hAnsi="Times New Roman" w:cs="Times New Roman"/>
          <w:sz w:val="24"/>
          <w:szCs w:val="24"/>
        </w:rPr>
        <w:t>, se guía por la</w:t>
      </w:r>
      <w:r w:rsidRPr="00C56FBE">
        <w:rPr>
          <w:rFonts w:ascii="Times New Roman" w:hAnsi="Times New Roman" w:cs="Times New Roman"/>
          <w:sz w:val="24"/>
          <w:szCs w:val="24"/>
        </w:rPr>
        <w:t xml:space="preserve"> llamada Ley de la ponderación</w:t>
      </w:r>
      <w:r w:rsidR="002E1B09">
        <w:rPr>
          <w:rFonts w:ascii="Times New Roman" w:hAnsi="Times New Roman" w:cs="Times New Roman"/>
          <w:sz w:val="24"/>
          <w:szCs w:val="24"/>
        </w:rPr>
        <w:t>, desde la cual es posible formular la siguiente regla</w:t>
      </w:r>
      <w:r w:rsidRPr="00C56FBE">
        <w:rPr>
          <w:rFonts w:ascii="Times New Roman" w:hAnsi="Times New Roman" w:cs="Times New Roman"/>
          <w:sz w:val="24"/>
          <w:szCs w:val="24"/>
        </w:rPr>
        <w:t>:</w:t>
      </w:r>
      <w:r w:rsidR="00ED5EC4" w:rsidRPr="00C56FBE">
        <w:rPr>
          <w:rFonts w:ascii="Times New Roman" w:hAnsi="Times New Roman" w:cs="Times New Roman"/>
          <w:sz w:val="24"/>
          <w:szCs w:val="24"/>
        </w:rPr>
        <w:t xml:space="preserve"> cuanto mayor es el grado de afectación de un derecho fundamental, tanto mayor debe ser el grado de satisfacción del derecho fundamental en conflicto. Pues bien, nada en la afirmación </w:t>
      </w:r>
      <w:r w:rsidR="002E1B09">
        <w:rPr>
          <w:rFonts w:ascii="Times New Roman" w:hAnsi="Times New Roman" w:cs="Times New Roman"/>
          <w:sz w:val="24"/>
          <w:szCs w:val="24"/>
        </w:rPr>
        <w:t xml:space="preserve">del Juez sobre el juicio de proporcionalidad en sentido estricto, </w:t>
      </w:r>
      <w:r w:rsidR="00ED5EC4" w:rsidRPr="00C56FBE">
        <w:rPr>
          <w:rFonts w:ascii="Times New Roman" w:hAnsi="Times New Roman" w:cs="Times New Roman"/>
          <w:sz w:val="24"/>
          <w:szCs w:val="24"/>
        </w:rPr>
        <w:t xml:space="preserve">permite </w:t>
      </w:r>
      <w:r w:rsidR="002E1B09">
        <w:rPr>
          <w:rFonts w:ascii="Times New Roman" w:hAnsi="Times New Roman" w:cs="Times New Roman"/>
          <w:sz w:val="24"/>
          <w:szCs w:val="24"/>
        </w:rPr>
        <w:t>una relación ni tan siquiera indirecta</w:t>
      </w:r>
      <w:r w:rsidR="00ED5EC4" w:rsidRPr="00C56FBE">
        <w:rPr>
          <w:rFonts w:ascii="Times New Roman" w:hAnsi="Times New Roman" w:cs="Times New Roman"/>
          <w:sz w:val="24"/>
          <w:szCs w:val="24"/>
        </w:rPr>
        <w:t xml:space="preserve"> con la ley de la ponderación referida.</w:t>
      </w:r>
    </w:p>
    <w:p w:rsidR="00B326F8" w:rsidRDefault="00ED5EC4"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 xml:space="preserve">Consecuentemente, debe ser concluido en este punto que el Juez cuando autoriza el allanamiento ha vulnerado el contenido constitucional del derecho fundamental a la adecuada motivación de decisiones por </w:t>
      </w:r>
      <w:r w:rsidR="002E1B09">
        <w:rPr>
          <w:rFonts w:ascii="Times New Roman" w:hAnsi="Times New Roman" w:cs="Times New Roman"/>
          <w:sz w:val="24"/>
          <w:szCs w:val="24"/>
        </w:rPr>
        <w:t xml:space="preserve">las </w:t>
      </w:r>
      <w:r w:rsidRPr="00C56FBE">
        <w:rPr>
          <w:rFonts w:ascii="Times New Roman" w:hAnsi="Times New Roman" w:cs="Times New Roman"/>
          <w:sz w:val="24"/>
          <w:szCs w:val="24"/>
        </w:rPr>
        <w:t xml:space="preserve">graves deficiencias </w:t>
      </w:r>
      <w:r w:rsidR="002E1B09">
        <w:rPr>
          <w:rFonts w:ascii="Times New Roman" w:hAnsi="Times New Roman" w:cs="Times New Roman"/>
          <w:sz w:val="24"/>
          <w:szCs w:val="24"/>
        </w:rPr>
        <w:t xml:space="preserve">de motivación externa </w:t>
      </w:r>
      <w:r w:rsidRPr="00C56FBE">
        <w:rPr>
          <w:rFonts w:ascii="Times New Roman" w:hAnsi="Times New Roman" w:cs="Times New Roman"/>
          <w:sz w:val="24"/>
          <w:szCs w:val="24"/>
        </w:rPr>
        <w:t>relacionadas con la validez de la premisa fáctica y de la premisa normativa</w:t>
      </w:r>
      <w:r w:rsidR="002E1B09">
        <w:rPr>
          <w:rFonts w:ascii="Times New Roman" w:hAnsi="Times New Roman" w:cs="Times New Roman"/>
          <w:sz w:val="24"/>
          <w:szCs w:val="24"/>
        </w:rPr>
        <w:t>, tal y como aquí se ha puesto de manifiesto</w:t>
      </w:r>
      <w:r w:rsidRPr="00C56FBE">
        <w:rPr>
          <w:rFonts w:ascii="Times New Roman" w:hAnsi="Times New Roman" w:cs="Times New Roman"/>
          <w:sz w:val="24"/>
          <w:szCs w:val="24"/>
        </w:rPr>
        <w:t>.</w:t>
      </w:r>
    </w:p>
    <w:p w:rsidR="00A83DD2" w:rsidRDefault="00A83DD2" w:rsidP="00C97E04">
      <w:pPr>
        <w:spacing w:before="120" w:after="120" w:line="320" w:lineRule="exact"/>
        <w:jc w:val="both"/>
        <w:rPr>
          <w:rFonts w:ascii="Times New Roman" w:hAnsi="Times New Roman" w:cs="Times New Roman"/>
          <w:sz w:val="24"/>
          <w:szCs w:val="24"/>
        </w:rPr>
      </w:pPr>
    </w:p>
    <w:p w:rsidR="00B326F8" w:rsidRPr="00C56FBE" w:rsidRDefault="00400F4D" w:rsidP="00C97E04">
      <w:pPr>
        <w:spacing w:before="120" w:after="120" w:line="320" w:lineRule="exact"/>
        <w:jc w:val="both"/>
        <w:rPr>
          <w:rFonts w:ascii="Times New Roman" w:hAnsi="Times New Roman" w:cs="Times New Roman"/>
          <w:b/>
          <w:smallCaps/>
          <w:sz w:val="24"/>
          <w:szCs w:val="24"/>
        </w:rPr>
      </w:pPr>
      <w:r>
        <w:rPr>
          <w:rFonts w:ascii="Times New Roman" w:hAnsi="Times New Roman" w:cs="Times New Roman"/>
          <w:b/>
          <w:smallCaps/>
          <w:sz w:val="24"/>
          <w:szCs w:val="24"/>
        </w:rPr>
        <w:t xml:space="preserve">IV. </w:t>
      </w:r>
      <w:r w:rsidR="00B326F8" w:rsidRPr="00C56FBE">
        <w:rPr>
          <w:rFonts w:ascii="Times New Roman" w:hAnsi="Times New Roman" w:cs="Times New Roman"/>
          <w:b/>
          <w:smallCaps/>
          <w:sz w:val="24"/>
          <w:szCs w:val="24"/>
        </w:rPr>
        <w:t>Vulneración del contenido constitucional del derecho fundamental al secreto profesional</w:t>
      </w:r>
    </w:p>
    <w:p w:rsidR="00AB52BE" w:rsidRPr="00C56FBE" w:rsidRDefault="00AB52BE"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Tanto en la Resolución 1 como en la Resolución 2, el Juez se plantea y resuelve la cuestión de la proporcionalidad de la medida de allanamiento</w:t>
      </w:r>
      <w:r w:rsidR="00EA75E8" w:rsidRPr="00C56FBE">
        <w:rPr>
          <w:rFonts w:ascii="Times New Roman" w:hAnsi="Times New Roman" w:cs="Times New Roman"/>
          <w:sz w:val="24"/>
          <w:szCs w:val="24"/>
        </w:rPr>
        <w:t>, como se ha dicho</w:t>
      </w:r>
      <w:r w:rsidR="0066702B">
        <w:rPr>
          <w:rFonts w:ascii="Times New Roman" w:hAnsi="Times New Roman" w:cs="Times New Roman"/>
          <w:sz w:val="24"/>
          <w:szCs w:val="24"/>
        </w:rPr>
        <w:t xml:space="preserve"> arriba</w:t>
      </w:r>
      <w:r w:rsidRPr="00C56FBE">
        <w:rPr>
          <w:rFonts w:ascii="Times New Roman" w:hAnsi="Times New Roman" w:cs="Times New Roman"/>
          <w:sz w:val="24"/>
          <w:szCs w:val="24"/>
        </w:rPr>
        <w:t>. El Juez asume que el derecho fundamental en juego</w:t>
      </w:r>
      <w:r w:rsidR="00EA75E8" w:rsidRPr="00C56FBE">
        <w:rPr>
          <w:rFonts w:ascii="Times New Roman" w:hAnsi="Times New Roman" w:cs="Times New Roman"/>
          <w:sz w:val="24"/>
          <w:szCs w:val="24"/>
        </w:rPr>
        <w:t xml:space="preserve"> en este caso</w:t>
      </w:r>
      <w:r w:rsidRPr="00C56FBE">
        <w:rPr>
          <w:rFonts w:ascii="Times New Roman" w:hAnsi="Times New Roman" w:cs="Times New Roman"/>
          <w:sz w:val="24"/>
          <w:szCs w:val="24"/>
        </w:rPr>
        <w:t xml:space="preserve"> es el derecho al secreto profesional. Así ha dicho: “</w:t>
      </w:r>
      <w:r w:rsidR="00EA75E8" w:rsidRPr="00C56FBE">
        <w:rPr>
          <w:rFonts w:ascii="Times New Roman" w:hAnsi="Times New Roman" w:cs="Times New Roman"/>
          <w:sz w:val="24"/>
          <w:szCs w:val="24"/>
        </w:rPr>
        <w:t>en el presente</w:t>
      </w:r>
      <w:r w:rsidRPr="00C56FBE">
        <w:rPr>
          <w:rFonts w:ascii="Times New Roman" w:hAnsi="Times New Roman" w:cs="Times New Roman"/>
          <w:sz w:val="24"/>
          <w:szCs w:val="24"/>
        </w:rPr>
        <w:t xml:space="preserve"> caso concreto estaría plenamente justificada la afectación al secreto profesional, solo en cuanto a los hechos m</w:t>
      </w:r>
      <w:r w:rsidR="00BB774A">
        <w:rPr>
          <w:rFonts w:ascii="Times New Roman" w:hAnsi="Times New Roman" w:cs="Times New Roman"/>
          <w:sz w:val="24"/>
          <w:szCs w:val="24"/>
        </w:rPr>
        <w:t>ateria de investigación”</w:t>
      </w:r>
      <w:r w:rsidR="00BB774A">
        <w:rPr>
          <w:rStyle w:val="Refdenotaalpie"/>
          <w:rFonts w:ascii="Times New Roman" w:hAnsi="Times New Roman" w:cs="Times New Roman"/>
          <w:sz w:val="24"/>
          <w:szCs w:val="24"/>
        </w:rPr>
        <w:footnoteReference w:id="14"/>
      </w:r>
      <w:r w:rsidRPr="00C56FBE">
        <w:rPr>
          <w:rFonts w:ascii="Times New Roman" w:hAnsi="Times New Roman" w:cs="Times New Roman"/>
          <w:sz w:val="24"/>
          <w:szCs w:val="24"/>
        </w:rPr>
        <w:t>. Y es que, continúa razonando el Juez, “resulta razonable levantar el secreto profesional que le ampara [al Estudio Oré], debido a que dicho derecho que le asiste no es absoluto, y por ende, cabe disponer medidas de restricción de derechos en su contra, como sería el allanamiento del bien inmueble, a fin que se proceda con la incautación de cosas relevant</w:t>
      </w:r>
      <w:r w:rsidR="00BB774A">
        <w:rPr>
          <w:rFonts w:ascii="Times New Roman" w:hAnsi="Times New Roman" w:cs="Times New Roman"/>
          <w:sz w:val="24"/>
          <w:szCs w:val="24"/>
        </w:rPr>
        <w:t>es con la investigación”</w:t>
      </w:r>
      <w:r w:rsidR="00BB774A">
        <w:rPr>
          <w:rStyle w:val="Refdenotaalpie"/>
          <w:rFonts w:ascii="Times New Roman" w:hAnsi="Times New Roman" w:cs="Times New Roman"/>
          <w:sz w:val="24"/>
          <w:szCs w:val="24"/>
        </w:rPr>
        <w:footnoteReference w:id="15"/>
      </w:r>
      <w:r w:rsidRPr="00C56FBE">
        <w:rPr>
          <w:rFonts w:ascii="Times New Roman" w:hAnsi="Times New Roman" w:cs="Times New Roman"/>
          <w:sz w:val="24"/>
          <w:szCs w:val="24"/>
        </w:rPr>
        <w:t>.</w:t>
      </w:r>
    </w:p>
    <w:p w:rsidR="00AB52BE" w:rsidRDefault="00EA75E8"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 xml:space="preserve">Con el solo propósito de analizar la aplicación que del principio de proporcionalidad lleva a cabo el Juez, se asumirá </w:t>
      </w:r>
      <w:r w:rsidR="00AB52BE" w:rsidRPr="00C56FBE">
        <w:rPr>
          <w:rFonts w:ascii="Times New Roman" w:hAnsi="Times New Roman" w:cs="Times New Roman"/>
          <w:sz w:val="24"/>
          <w:szCs w:val="24"/>
        </w:rPr>
        <w:t>que es correcto que el derecho fundamental afectado por la medida de allanamiento del Estudio Oré Guardia, es el secreto profesional</w:t>
      </w:r>
      <w:r w:rsidRPr="00C56FBE">
        <w:rPr>
          <w:rFonts w:ascii="Times New Roman" w:hAnsi="Times New Roman" w:cs="Times New Roman"/>
          <w:sz w:val="24"/>
          <w:szCs w:val="24"/>
        </w:rPr>
        <w:t xml:space="preserve">. A continuación se analizará </w:t>
      </w:r>
      <w:r w:rsidR="00AB52BE" w:rsidRPr="00C56FBE">
        <w:rPr>
          <w:rFonts w:ascii="Times New Roman" w:hAnsi="Times New Roman" w:cs="Times New Roman"/>
          <w:sz w:val="24"/>
          <w:szCs w:val="24"/>
        </w:rPr>
        <w:t>si efectivamente esta medida restrictiva es una medida proporcional por ser idónea, necesaria y ponderada.</w:t>
      </w:r>
    </w:p>
    <w:p w:rsidR="00A83DD2" w:rsidRPr="00C56FBE" w:rsidRDefault="00A83DD2" w:rsidP="00C97E04">
      <w:pPr>
        <w:spacing w:before="120" w:after="120" w:line="320" w:lineRule="exact"/>
        <w:jc w:val="both"/>
        <w:rPr>
          <w:rFonts w:ascii="Times New Roman" w:hAnsi="Times New Roman" w:cs="Times New Roman"/>
          <w:sz w:val="24"/>
          <w:szCs w:val="24"/>
        </w:rPr>
      </w:pPr>
    </w:p>
    <w:p w:rsidR="00AB52BE" w:rsidRPr="00C56FBE" w:rsidRDefault="00400F4D" w:rsidP="00C97E04">
      <w:pPr>
        <w:spacing w:before="120" w:after="120" w:line="320" w:lineRule="exact"/>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545D21" w:rsidRPr="00C56FBE">
        <w:rPr>
          <w:rFonts w:ascii="Times New Roman" w:hAnsi="Times New Roman" w:cs="Times New Roman"/>
          <w:b/>
          <w:sz w:val="24"/>
          <w:szCs w:val="24"/>
        </w:rPr>
        <w:t>El allanamiento es una medida idónea</w:t>
      </w:r>
    </w:p>
    <w:p w:rsidR="003A5C49" w:rsidRDefault="00545D21"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El juicio de idoneidad reclama identificar la existencia de una finalidad en la medida que afecta un derecho fundamental</w:t>
      </w:r>
      <w:r w:rsidR="003A5C49">
        <w:rPr>
          <w:rFonts w:ascii="Times New Roman" w:hAnsi="Times New Roman" w:cs="Times New Roman"/>
          <w:sz w:val="24"/>
          <w:szCs w:val="24"/>
        </w:rPr>
        <w:t>, para a continuación preguntarse si la medida restrictiva del derecho fundamental tiene o no la virtualidad de alcanzar tal finalidad</w:t>
      </w:r>
      <w:r w:rsidRPr="00C56FBE">
        <w:rPr>
          <w:rFonts w:ascii="Times New Roman" w:hAnsi="Times New Roman" w:cs="Times New Roman"/>
          <w:sz w:val="24"/>
          <w:szCs w:val="24"/>
        </w:rPr>
        <w:t xml:space="preserve">. </w:t>
      </w:r>
    </w:p>
    <w:p w:rsidR="002E1B09" w:rsidRDefault="003A5C49" w:rsidP="00C97E04">
      <w:pPr>
        <w:spacing w:before="120" w:after="120" w:line="320" w:lineRule="exact"/>
        <w:jc w:val="both"/>
        <w:rPr>
          <w:rFonts w:ascii="Times New Roman" w:hAnsi="Times New Roman" w:cs="Times New Roman"/>
          <w:sz w:val="24"/>
          <w:szCs w:val="24"/>
        </w:rPr>
      </w:pPr>
      <w:r>
        <w:rPr>
          <w:rFonts w:ascii="Times New Roman" w:hAnsi="Times New Roman" w:cs="Times New Roman"/>
          <w:sz w:val="24"/>
          <w:szCs w:val="24"/>
        </w:rPr>
        <w:t>El Juez hace referencia al juicio de idoneidad, solamente con este párrafo:</w:t>
      </w:r>
    </w:p>
    <w:p w:rsidR="003A5C49" w:rsidRPr="00C56FBE" w:rsidRDefault="003A5C49" w:rsidP="003A5C49">
      <w:pPr>
        <w:spacing w:before="120" w:after="120" w:line="320" w:lineRule="exact"/>
        <w:ind w:left="567" w:right="566"/>
        <w:jc w:val="both"/>
        <w:rPr>
          <w:rFonts w:ascii="Times New Roman" w:hAnsi="Times New Roman" w:cs="Times New Roman"/>
          <w:sz w:val="24"/>
          <w:szCs w:val="24"/>
        </w:rPr>
      </w:pPr>
      <w:r>
        <w:rPr>
          <w:rFonts w:ascii="Times New Roman" w:hAnsi="Times New Roman" w:cs="Times New Roman"/>
          <w:sz w:val="24"/>
          <w:szCs w:val="24"/>
        </w:rPr>
        <w:t>“la medida de allanamiento (…) deviene en idónea, desde que permitirá con alto grado de probabilidad, encontrar cosas relevantes para la investigación, como sería el caso de los Libros y/o Registros vinculados al Partido Político Fuerza 2011 y Fuerza Popular correspondientes a los años 2010 a 2016, y los equipos de cómputo, informáticos y/o datos que contengan a la campaña electoral correspondientes a los años 2011 a 2016, y cuestiones vinculadas de obstaculización a la actividad probatoria (aportantes que declaren en forma contraria a la realidad, en el sentido que efectuaron aportes, cuando en realidad no lo hicieron”</w:t>
      </w:r>
      <w:r>
        <w:rPr>
          <w:rStyle w:val="Refdenotaalpie"/>
          <w:rFonts w:ascii="Times New Roman" w:hAnsi="Times New Roman" w:cs="Times New Roman"/>
          <w:sz w:val="24"/>
          <w:szCs w:val="24"/>
        </w:rPr>
        <w:footnoteReference w:id="16"/>
      </w:r>
      <w:r>
        <w:rPr>
          <w:rFonts w:ascii="Times New Roman" w:hAnsi="Times New Roman" w:cs="Times New Roman"/>
          <w:sz w:val="24"/>
          <w:szCs w:val="24"/>
        </w:rPr>
        <w:t>.</w:t>
      </w:r>
    </w:p>
    <w:p w:rsidR="00545D21" w:rsidRDefault="003A5C49" w:rsidP="00241E09">
      <w:pPr>
        <w:spacing w:before="120" w:after="120" w:line="320" w:lineRule="exact"/>
        <w:jc w:val="both"/>
        <w:rPr>
          <w:rFonts w:ascii="Times New Roman" w:hAnsi="Times New Roman" w:cs="Times New Roman"/>
          <w:sz w:val="24"/>
          <w:szCs w:val="24"/>
        </w:rPr>
      </w:pPr>
      <w:r>
        <w:rPr>
          <w:rFonts w:ascii="Times New Roman" w:hAnsi="Times New Roman" w:cs="Times New Roman"/>
          <w:sz w:val="24"/>
          <w:szCs w:val="24"/>
        </w:rPr>
        <w:t>Esto que el Juez sostiene no recoge</w:t>
      </w:r>
      <w:r w:rsidR="00241E09">
        <w:rPr>
          <w:rFonts w:ascii="Times New Roman" w:hAnsi="Times New Roman" w:cs="Times New Roman"/>
          <w:sz w:val="24"/>
          <w:szCs w:val="24"/>
        </w:rPr>
        <w:t xml:space="preserve"> los dos momentos de análisis que exige el juicio de idoneidad: la presentación de una finalidad de la mano de uno de los derechos fundamentales en conflicto; y el análisis de la virtualidad para alcanzar tal finalidad. Sin embargo, a pesar que no haya sido hecho este juicio, sí es posible reconocer que la medida de allanamiento cumple con la exigida idoneidad. En efecto, puede concluirse que la finalidad del allanamiento es encontrar cosas relevantes para la investigación desde que así lo justifica el </w:t>
      </w:r>
      <w:r w:rsidR="00545D21" w:rsidRPr="00C56FBE">
        <w:rPr>
          <w:rFonts w:ascii="Times New Roman" w:hAnsi="Times New Roman" w:cs="Times New Roman"/>
          <w:sz w:val="24"/>
          <w:szCs w:val="24"/>
        </w:rPr>
        <w:t>bien jurídico constitucional</w:t>
      </w:r>
      <w:r w:rsidR="00241E09">
        <w:rPr>
          <w:rFonts w:ascii="Times New Roman" w:hAnsi="Times New Roman" w:cs="Times New Roman"/>
          <w:sz w:val="24"/>
          <w:szCs w:val="24"/>
        </w:rPr>
        <w:t xml:space="preserve"> proscripción de la impunidad, con el cual entra en conflicto el, a decir del juez, derecho fundamental al secreto profesional. Si esta es la finalidad </w:t>
      </w:r>
      <w:r w:rsidR="00AA10D9" w:rsidRPr="00C56FBE">
        <w:rPr>
          <w:rFonts w:ascii="Times New Roman" w:hAnsi="Times New Roman" w:cs="Times New Roman"/>
          <w:sz w:val="24"/>
          <w:szCs w:val="24"/>
        </w:rPr>
        <w:t>de la medida de allanamie</w:t>
      </w:r>
      <w:r w:rsidR="00241E09">
        <w:rPr>
          <w:rFonts w:ascii="Times New Roman" w:hAnsi="Times New Roman" w:cs="Times New Roman"/>
          <w:sz w:val="24"/>
          <w:szCs w:val="24"/>
        </w:rPr>
        <w:t>nto</w:t>
      </w:r>
      <w:r w:rsidR="00AA10D9" w:rsidRPr="00C56FBE">
        <w:rPr>
          <w:rFonts w:ascii="Times New Roman" w:hAnsi="Times New Roman" w:cs="Times New Roman"/>
          <w:sz w:val="24"/>
          <w:szCs w:val="24"/>
        </w:rPr>
        <w:t xml:space="preserve">, entonces, </w:t>
      </w:r>
      <w:r w:rsidR="00241E09">
        <w:rPr>
          <w:rFonts w:ascii="Times New Roman" w:hAnsi="Times New Roman" w:cs="Times New Roman"/>
          <w:sz w:val="24"/>
          <w:szCs w:val="24"/>
        </w:rPr>
        <w:t>esta medida tiene la virtualidad de conseguir tal finalidad si es que, efectivamente se puede concluir –asumiendo como verdaderos los hechos referidos por el TP 10 y el CE 8</w:t>
      </w:r>
      <w:r w:rsidR="004F65EB">
        <w:rPr>
          <w:rFonts w:ascii="Times New Roman" w:hAnsi="Times New Roman" w:cs="Times New Roman"/>
          <w:sz w:val="24"/>
          <w:szCs w:val="24"/>
        </w:rPr>
        <w:t>–</w:t>
      </w:r>
      <w:r w:rsidR="00241E09">
        <w:rPr>
          <w:rFonts w:ascii="Times New Roman" w:hAnsi="Times New Roman" w:cs="Times New Roman"/>
          <w:sz w:val="24"/>
          <w:szCs w:val="24"/>
        </w:rPr>
        <w:t xml:space="preserve"> que en el Estudio Oré Guardia habrá cosas relevantes para la investigación</w:t>
      </w:r>
      <w:r w:rsidR="00AA10D9" w:rsidRPr="00C56FBE">
        <w:rPr>
          <w:rFonts w:ascii="Times New Roman" w:hAnsi="Times New Roman" w:cs="Times New Roman"/>
          <w:sz w:val="24"/>
          <w:szCs w:val="24"/>
        </w:rPr>
        <w:t>.</w:t>
      </w:r>
    </w:p>
    <w:p w:rsidR="00A83DD2" w:rsidRPr="00C56FBE" w:rsidRDefault="00A83DD2" w:rsidP="00241E09">
      <w:pPr>
        <w:spacing w:before="120" w:after="120" w:line="320" w:lineRule="exact"/>
        <w:jc w:val="both"/>
        <w:rPr>
          <w:rFonts w:ascii="Times New Roman" w:hAnsi="Times New Roman" w:cs="Times New Roman"/>
          <w:sz w:val="24"/>
          <w:szCs w:val="24"/>
        </w:rPr>
      </w:pPr>
    </w:p>
    <w:p w:rsidR="00AA10D9" w:rsidRPr="00C56FBE" w:rsidRDefault="00400F4D" w:rsidP="00C97E04">
      <w:pPr>
        <w:spacing w:before="120" w:after="120" w:line="320" w:lineRule="exact"/>
        <w:jc w:val="both"/>
        <w:rPr>
          <w:rFonts w:ascii="Times New Roman" w:hAnsi="Times New Roman" w:cs="Times New Roman"/>
          <w:b/>
          <w:sz w:val="24"/>
          <w:szCs w:val="24"/>
        </w:rPr>
      </w:pPr>
      <w:r>
        <w:rPr>
          <w:rFonts w:ascii="Times New Roman" w:hAnsi="Times New Roman" w:cs="Times New Roman"/>
          <w:b/>
          <w:sz w:val="24"/>
          <w:szCs w:val="24"/>
        </w:rPr>
        <w:t xml:space="preserve">2. </w:t>
      </w:r>
      <w:r w:rsidR="00AA10D9" w:rsidRPr="00C56FBE">
        <w:rPr>
          <w:rFonts w:ascii="Times New Roman" w:hAnsi="Times New Roman" w:cs="Times New Roman"/>
          <w:b/>
          <w:sz w:val="24"/>
          <w:szCs w:val="24"/>
        </w:rPr>
        <w:t>El allanamiento es una medida innecesaria</w:t>
      </w:r>
    </w:p>
    <w:p w:rsidR="0084061D" w:rsidRPr="00C56FBE" w:rsidRDefault="00241E09" w:rsidP="00C97E04">
      <w:pPr>
        <w:spacing w:before="120" w:after="120" w:line="320" w:lineRule="exact"/>
        <w:jc w:val="both"/>
        <w:rPr>
          <w:rFonts w:ascii="Times New Roman" w:hAnsi="Times New Roman" w:cs="Times New Roman"/>
          <w:sz w:val="24"/>
          <w:szCs w:val="24"/>
        </w:rPr>
      </w:pPr>
      <w:r>
        <w:rPr>
          <w:rFonts w:ascii="Times New Roman" w:hAnsi="Times New Roman" w:cs="Times New Roman"/>
          <w:sz w:val="24"/>
          <w:szCs w:val="24"/>
        </w:rPr>
        <w:t xml:space="preserve">Pero la medida de allanamiento no es proporcionada por el solo hecho de ser idónea. Para ser proporcionada tiene que ser también necesaria. Y será este el caso si la medida supera el juicio de necesidad. Este </w:t>
      </w:r>
      <w:r w:rsidR="00AA10D9" w:rsidRPr="00C56FBE">
        <w:rPr>
          <w:rFonts w:ascii="Times New Roman" w:hAnsi="Times New Roman" w:cs="Times New Roman"/>
          <w:sz w:val="24"/>
          <w:szCs w:val="24"/>
        </w:rPr>
        <w:t xml:space="preserve">juicio reclama que no exista otra medida que no afecte o que afecte menos un derecho fundamental, y que a la vez consiga la misma finalidad </w:t>
      </w:r>
      <w:r w:rsidR="0021374E" w:rsidRPr="00C56FBE">
        <w:rPr>
          <w:rFonts w:ascii="Times New Roman" w:hAnsi="Times New Roman" w:cs="Times New Roman"/>
          <w:sz w:val="24"/>
          <w:szCs w:val="24"/>
        </w:rPr>
        <w:t>que se persigue con el allanamiento. Para</w:t>
      </w:r>
      <w:r w:rsidR="008535EB">
        <w:rPr>
          <w:rFonts w:ascii="Times New Roman" w:hAnsi="Times New Roman" w:cs="Times New Roman"/>
          <w:sz w:val="24"/>
          <w:szCs w:val="24"/>
        </w:rPr>
        <w:t xml:space="preserve"> el J</w:t>
      </w:r>
      <w:r w:rsidR="0021374E" w:rsidRPr="00C56FBE">
        <w:rPr>
          <w:rFonts w:ascii="Times New Roman" w:hAnsi="Times New Roman" w:cs="Times New Roman"/>
          <w:sz w:val="24"/>
          <w:szCs w:val="24"/>
        </w:rPr>
        <w:t xml:space="preserve">uez, la medida de allanamiento es necesaria </w:t>
      </w:r>
      <w:r w:rsidR="0084061D" w:rsidRPr="00C56FBE">
        <w:rPr>
          <w:rFonts w:ascii="Times New Roman" w:hAnsi="Times New Roman" w:cs="Times New Roman"/>
          <w:sz w:val="24"/>
          <w:szCs w:val="24"/>
        </w:rPr>
        <w:t xml:space="preserve">porque las otras medidas alternativas que existen, no cumplirían con conseguir la finalidad que se obtendría con el allanamiento. </w:t>
      </w:r>
    </w:p>
    <w:p w:rsidR="008535EB" w:rsidRDefault="008535EB" w:rsidP="00C97E04">
      <w:pPr>
        <w:spacing w:before="120" w:after="120" w:line="320" w:lineRule="exact"/>
        <w:jc w:val="both"/>
        <w:rPr>
          <w:rFonts w:ascii="Times New Roman" w:hAnsi="Times New Roman" w:cs="Times New Roman"/>
          <w:sz w:val="24"/>
          <w:szCs w:val="24"/>
        </w:rPr>
      </w:pPr>
      <w:r>
        <w:rPr>
          <w:rFonts w:ascii="Times New Roman" w:hAnsi="Times New Roman" w:cs="Times New Roman"/>
          <w:sz w:val="24"/>
          <w:szCs w:val="24"/>
        </w:rPr>
        <w:t>Así, p</w:t>
      </w:r>
      <w:r w:rsidR="0084061D" w:rsidRPr="00C56FBE">
        <w:rPr>
          <w:rFonts w:ascii="Times New Roman" w:hAnsi="Times New Roman" w:cs="Times New Roman"/>
          <w:sz w:val="24"/>
          <w:szCs w:val="24"/>
        </w:rPr>
        <w:t xml:space="preserve">ara el Juez, las otras medidas alternativas son las siguientes dos: </w:t>
      </w:r>
    </w:p>
    <w:p w:rsidR="00AA10D9" w:rsidRPr="00C56FBE" w:rsidRDefault="0084061D" w:rsidP="008535EB">
      <w:pPr>
        <w:spacing w:before="120" w:after="120" w:line="320" w:lineRule="exact"/>
        <w:ind w:left="567" w:right="566"/>
        <w:jc w:val="both"/>
        <w:rPr>
          <w:rFonts w:ascii="Times New Roman" w:hAnsi="Times New Roman" w:cs="Times New Roman"/>
          <w:sz w:val="24"/>
          <w:szCs w:val="24"/>
        </w:rPr>
      </w:pPr>
      <w:r w:rsidRPr="00C56FBE">
        <w:rPr>
          <w:rFonts w:ascii="Times New Roman" w:hAnsi="Times New Roman" w:cs="Times New Roman"/>
          <w:sz w:val="24"/>
          <w:szCs w:val="24"/>
        </w:rPr>
        <w:lastRenderedPageBreak/>
        <w:t>“que el Fiscal se constituya al local del Estudio de Abogados Oré Guardia (…) a efectos de solicitarle la entrega de cosas relevantes con la investigación (…), o simplemente se notifique al Abogado Edward García Navarro del Estudio Oré Guardia para que haga entreg</w:t>
      </w:r>
      <w:r w:rsidR="00BB774A">
        <w:rPr>
          <w:rFonts w:ascii="Times New Roman" w:hAnsi="Times New Roman" w:cs="Times New Roman"/>
          <w:sz w:val="24"/>
          <w:szCs w:val="24"/>
        </w:rPr>
        <w:t>a de lo requerido”</w:t>
      </w:r>
      <w:r w:rsidR="00BB774A">
        <w:rPr>
          <w:rStyle w:val="Refdenotaalpie"/>
          <w:rFonts w:ascii="Times New Roman" w:hAnsi="Times New Roman" w:cs="Times New Roman"/>
          <w:sz w:val="24"/>
          <w:szCs w:val="24"/>
        </w:rPr>
        <w:footnoteReference w:id="17"/>
      </w:r>
      <w:r w:rsidRPr="00C56FBE">
        <w:rPr>
          <w:rFonts w:ascii="Times New Roman" w:hAnsi="Times New Roman" w:cs="Times New Roman"/>
          <w:sz w:val="24"/>
          <w:szCs w:val="24"/>
        </w:rPr>
        <w:t>. Una vez formuladas, el Juez mismo concluye que “éstas dos medidas so cumplirían con la finalidad de la medida de allanamiento (…) desde que es altamente probable que mientras se efectúe el trámite, es probable que su titular o terceros desa</w:t>
      </w:r>
      <w:r w:rsidR="00BB774A">
        <w:rPr>
          <w:rFonts w:ascii="Times New Roman" w:hAnsi="Times New Roman" w:cs="Times New Roman"/>
          <w:sz w:val="24"/>
          <w:szCs w:val="24"/>
        </w:rPr>
        <w:t>parezcan dichos objetos”</w:t>
      </w:r>
      <w:r w:rsidR="00BB774A">
        <w:rPr>
          <w:rStyle w:val="Refdenotaalpie"/>
          <w:rFonts w:ascii="Times New Roman" w:hAnsi="Times New Roman" w:cs="Times New Roman"/>
          <w:sz w:val="24"/>
          <w:szCs w:val="24"/>
        </w:rPr>
        <w:footnoteReference w:id="18"/>
      </w:r>
      <w:r w:rsidRPr="00C56FBE">
        <w:rPr>
          <w:rFonts w:ascii="Times New Roman" w:hAnsi="Times New Roman" w:cs="Times New Roman"/>
          <w:sz w:val="24"/>
          <w:szCs w:val="24"/>
        </w:rPr>
        <w:t>.</w:t>
      </w:r>
    </w:p>
    <w:p w:rsidR="00E67153" w:rsidRPr="00C56FBE" w:rsidRDefault="0084061D"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 xml:space="preserve">Y </w:t>
      </w:r>
      <w:r w:rsidR="00E67153" w:rsidRPr="00C56FBE">
        <w:rPr>
          <w:rFonts w:ascii="Times New Roman" w:hAnsi="Times New Roman" w:cs="Times New Roman"/>
          <w:sz w:val="24"/>
          <w:szCs w:val="24"/>
        </w:rPr>
        <w:t xml:space="preserve">en contra de lo que se esperaría, </w:t>
      </w:r>
      <w:r w:rsidR="008535EB">
        <w:rPr>
          <w:rFonts w:ascii="Times New Roman" w:hAnsi="Times New Roman" w:cs="Times New Roman"/>
          <w:sz w:val="24"/>
          <w:szCs w:val="24"/>
        </w:rPr>
        <w:t xml:space="preserve">el Juez </w:t>
      </w:r>
      <w:r w:rsidR="00E67153" w:rsidRPr="00C56FBE">
        <w:rPr>
          <w:rFonts w:ascii="Times New Roman" w:hAnsi="Times New Roman" w:cs="Times New Roman"/>
          <w:sz w:val="24"/>
          <w:szCs w:val="24"/>
        </w:rPr>
        <w:t xml:space="preserve">no muestra ninguna razón, ni tan siquiera el </w:t>
      </w:r>
      <w:r w:rsidRPr="00C56FBE">
        <w:rPr>
          <w:rFonts w:ascii="Times New Roman" w:hAnsi="Times New Roman" w:cs="Times New Roman"/>
          <w:sz w:val="24"/>
          <w:szCs w:val="24"/>
        </w:rPr>
        <w:t xml:space="preserve">razonamiento lógico por el cual llega a concluir que </w:t>
      </w:r>
      <w:r w:rsidR="00E67153" w:rsidRPr="00C56FBE">
        <w:rPr>
          <w:rFonts w:ascii="Times New Roman" w:hAnsi="Times New Roman" w:cs="Times New Roman"/>
          <w:sz w:val="24"/>
          <w:szCs w:val="24"/>
        </w:rPr>
        <w:t xml:space="preserve">en el </w:t>
      </w:r>
      <w:r w:rsidR="008535EB">
        <w:rPr>
          <w:rFonts w:ascii="Times New Roman" w:hAnsi="Times New Roman" w:cs="Times New Roman"/>
          <w:sz w:val="24"/>
          <w:szCs w:val="24"/>
        </w:rPr>
        <w:t xml:space="preserve">presente </w:t>
      </w:r>
      <w:r w:rsidR="00E67153" w:rsidRPr="00C56FBE">
        <w:rPr>
          <w:rFonts w:ascii="Times New Roman" w:hAnsi="Times New Roman" w:cs="Times New Roman"/>
          <w:sz w:val="24"/>
          <w:szCs w:val="24"/>
        </w:rPr>
        <w:t xml:space="preserve">caso </w:t>
      </w:r>
      <w:r w:rsidR="00E67153" w:rsidRPr="00C56FBE">
        <w:rPr>
          <w:rFonts w:ascii="Times New Roman" w:hAnsi="Times New Roman" w:cs="Times New Roman"/>
          <w:b/>
          <w:sz w:val="24"/>
          <w:szCs w:val="24"/>
        </w:rPr>
        <w:t>es altamente probable que mientras se efectúe el trámite, es probable que su titular o terceros desaparezcan dichos objetos</w:t>
      </w:r>
      <w:r w:rsidR="00E67153" w:rsidRPr="00C56FBE">
        <w:rPr>
          <w:rFonts w:ascii="Times New Roman" w:hAnsi="Times New Roman" w:cs="Times New Roman"/>
          <w:sz w:val="24"/>
          <w:szCs w:val="24"/>
        </w:rPr>
        <w:t xml:space="preserve">. </w:t>
      </w:r>
      <w:r w:rsidR="00C32F64" w:rsidRPr="00C56FBE">
        <w:rPr>
          <w:rFonts w:ascii="Times New Roman" w:hAnsi="Times New Roman" w:cs="Times New Roman"/>
          <w:sz w:val="24"/>
          <w:szCs w:val="24"/>
        </w:rPr>
        <w:t>Este análisis del Juez es extremadamente débil que lo convierte en incorrecto por lo siguiente.</w:t>
      </w:r>
    </w:p>
    <w:p w:rsidR="008535EB" w:rsidRDefault="00C32F64"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 xml:space="preserve">En primer lugar, porque </w:t>
      </w:r>
      <w:r w:rsidR="008535EB">
        <w:rPr>
          <w:rFonts w:ascii="Times New Roman" w:hAnsi="Times New Roman" w:cs="Times New Roman"/>
          <w:sz w:val="24"/>
          <w:szCs w:val="24"/>
        </w:rPr>
        <w:t>asumiendo que efectivamente existen</w:t>
      </w:r>
      <w:r w:rsidR="001C6D96" w:rsidRPr="00C56FBE">
        <w:rPr>
          <w:rFonts w:ascii="Times New Roman" w:hAnsi="Times New Roman" w:cs="Times New Roman"/>
          <w:sz w:val="24"/>
          <w:szCs w:val="24"/>
        </w:rPr>
        <w:t xml:space="preserve"> razones para solicitar la información contable y administrativa del Estudio Oré Guardia que tenga relación con el Partido Político Fuera 2011 y Fuerza Popular correspond</w:t>
      </w:r>
      <w:r w:rsidR="008535EB">
        <w:rPr>
          <w:rFonts w:ascii="Times New Roman" w:hAnsi="Times New Roman" w:cs="Times New Roman"/>
          <w:sz w:val="24"/>
          <w:szCs w:val="24"/>
        </w:rPr>
        <w:t>iente a los años 2011 a 2016</w:t>
      </w:r>
      <w:r w:rsidR="008535EB">
        <w:rPr>
          <w:rStyle w:val="Refdenotaalpie"/>
          <w:rFonts w:ascii="Times New Roman" w:hAnsi="Times New Roman" w:cs="Times New Roman"/>
          <w:sz w:val="24"/>
          <w:szCs w:val="24"/>
        </w:rPr>
        <w:footnoteReference w:id="19"/>
      </w:r>
      <w:r w:rsidR="008535EB">
        <w:rPr>
          <w:rFonts w:ascii="Times New Roman" w:hAnsi="Times New Roman" w:cs="Times New Roman"/>
          <w:sz w:val="24"/>
          <w:szCs w:val="24"/>
        </w:rPr>
        <w:t>, está claro que</w:t>
      </w:r>
      <w:r w:rsidR="001C6D96" w:rsidRPr="00C56FBE">
        <w:rPr>
          <w:rFonts w:ascii="Times New Roman" w:hAnsi="Times New Roman" w:cs="Times New Roman"/>
          <w:sz w:val="24"/>
          <w:szCs w:val="24"/>
        </w:rPr>
        <w:t xml:space="preserve"> existían otras medidas alternativas</w:t>
      </w:r>
      <w:r w:rsidR="008535EB">
        <w:rPr>
          <w:rFonts w:ascii="Times New Roman" w:hAnsi="Times New Roman" w:cs="Times New Roman"/>
          <w:sz w:val="24"/>
          <w:szCs w:val="24"/>
        </w:rPr>
        <w:t xml:space="preserve"> e igualmente idóneas que el allanamiento para conseguir la finalidad buscada</w:t>
      </w:r>
      <w:r w:rsidR="005F49AC" w:rsidRPr="00C56FBE">
        <w:rPr>
          <w:rFonts w:ascii="Times New Roman" w:hAnsi="Times New Roman" w:cs="Times New Roman"/>
          <w:sz w:val="24"/>
          <w:szCs w:val="24"/>
        </w:rPr>
        <w:t xml:space="preserve">. </w:t>
      </w:r>
    </w:p>
    <w:p w:rsidR="005F49AC" w:rsidRPr="00C56FBE" w:rsidRDefault="005F49AC"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 xml:space="preserve">Así, aparece como idónea para conseguir la finalidad, la medida de solicitar la información contable a la fuente pública correspondiente, en particular a la SUNAT, a través de una orden </w:t>
      </w:r>
      <w:r w:rsidR="008535EB">
        <w:rPr>
          <w:rFonts w:ascii="Times New Roman" w:hAnsi="Times New Roman" w:cs="Times New Roman"/>
          <w:sz w:val="24"/>
          <w:szCs w:val="24"/>
        </w:rPr>
        <w:t xml:space="preserve">judicial </w:t>
      </w:r>
      <w:r w:rsidRPr="00C56FBE">
        <w:rPr>
          <w:rFonts w:ascii="Times New Roman" w:hAnsi="Times New Roman" w:cs="Times New Roman"/>
          <w:sz w:val="24"/>
          <w:szCs w:val="24"/>
        </w:rPr>
        <w:t xml:space="preserve">de levantamiento del secreto tributario, e incluso bancario del Estudio Arsenio Oré Guardia. De hecho, la información que finalmente al Fiscal le resultó relevante para emitir la Disposición 93 y formalizar denuncia por obstrucción de la justicia contra el Dr. Oré Guardia, fue exclusivamente recibos por honorarios pagados o expedidos por el Estudio Oré Guardia, y esta información la habría conseguido </w:t>
      </w:r>
      <w:r w:rsidR="008535EB">
        <w:rPr>
          <w:rFonts w:ascii="Times New Roman" w:hAnsi="Times New Roman" w:cs="Times New Roman"/>
          <w:sz w:val="24"/>
          <w:szCs w:val="24"/>
        </w:rPr>
        <w:t xml:space="preserve">el Fiscal perfectamente </w:t>
      </w:r>
      <w:r w:rsidRPr="00C56FBE">
        <w:rPr>
          <w:rFonts w:ascii="Times New Roman" w:hAnsi="Times New Roman" w:cs="Times New Roman"/>
          <w:sz w:val="24"/>
          <w:szCs w:val="24"/>
        </w:rPr>
        <w:t>sin afectar el derecho fundamental al secreto profesional.</w:t>
      </w:r>
      <w:r w:rsidR="008535EB">
        <w:rPr>
          <w:rFonts w:ascii="Times New Roman" w:hAnsi="Times New Roman" w:cs="Times New Roman"/>
          <w:sz w:val="24"/>
          <w:szCs w:val="24"/>
        </w:rPr>
        <w:t xml:space="preserve"> L</w:t>
      </w:r>
      <w:r w:rsidRPr="00C56FBE">
        <w:rPr>
          <w:rFonts w:ascii="Times New Roman" w:hAnsi="Times New Roman" w:cs="Times New Roman"/>
          <w:sz w:val="24"/>
          <w:szCs w:val="24"/>
        </w:rPr>
        <w:t xml:space="preserve">a constatación </w:t>
      </w:r>
      <w:r w:rsidR="008535EB">
        <w:rPr>
          <w:rFonts w:ascii="Times New Roman" w:hAnsi="Times New Roman" w:cs="Times New Roman"/>
          <w:sz w:val="24"/>
          <w:szCs w:val="24"/>
        </w:rPr>
        <w:t xml:space="preserve">de esta medida idónea </w:t>
      </w:r>
      <w:r w:rsidRPr="00C56FBE">
        <w:rPr>
          <w:rFonts w:ascii="Times New Roman" w:hAnsi="Times New Roman" w:cs="Times New Roman"/>
          <w:sz w:val="24"/>
          <w:szCs w:val="24"/>
        </w:rPr>
        <w:t>permite concluir que la medida de allanamiento fue una medida desproporcionada por innecesaria, desde que lo conseguido por el Fiscal, a su modo de ver relevante para la investigación, se pudo haber conseguido a través de la medida de levantamiento del secreto tributario.</w:t>
      </w:r>
    </w:p>
    <w:p w:rsidR="00B609F4" w:rsidRPr="00C56FBE" w:rsidRDefault="005F49AC"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 xml:space="preserve">A esta misma conclusión se llega </w:t>
      </w:r>
      <w:r w:rsidR="00B609F4" w:rsidRPr="00C56FBE">
        <w:rPr>
          <w:rFonts w:ascii="Times New Roman" w:hAnsi="Times New Roman" w:cs="Times New Roman"/>
          <w:sz w:val="24"/>
          <w:szCs w:val="24"/>
        </w:rPr>
        <w:t xml:space="preserve">desde </w:t>
      </w:r>
      <w:r w:rsidR="008535EB">
        <w:rPr>
          <w:rFonts w:ascii="Times New Roman" w:hAnsi="Times New Roman" w:cs="Times New Roman"/>
          <w:sz w:val="24"/>
          <w:szCs w:val="24"/>
        </w:rPr>
        <w:t>el reconocimiento de una segunda medida</w:t>
      </w:r>
      <w:r w:rsidR="00B609F4" w:rsidRPr="00C56FBE">
        <w:rPr>
          <w:rFonts w:ascii="Times New Roman" w:hAnsi="Times New Roman" w:cs="Times New Roman"/>
          <w:sz w:val="24"/>
          <w:szCs w:val="24"/>
        </w:rPr>
        <w:t xml:space="preserve"> alternativa</w:t>
      </w:r>
      <w:r w:rsidR="008535EB">
        <w:rPr>
          <w:rFonts w:ascii="Times New Roman" w:hAnsi="Times New Roman" w:cs="Times New Roman"/>
          <w:sz w:val="24"/>
          <w:szCs w:val="24"/>
        </w:rPr>
        <w:t xml:space="preserve"> al allanamiento</w:t>
      </w:r>
      <w:r w:rsidR="00B609F4" w:rsidRPr="00C56FBE">
        <w:rPr>
          <w:rFonts w:ascii="Times New Roman" w:hAnsi="Times New Roman" w:cs="Times New Roman"/>
          <w:sz w:val="24"/>
          <w:szCs w:val="24"/>
        </w:rPr>
        <w:t>: que la fiscalía solicite al propio investigado la información contable requerida. El Juez sí consideró en su argumentación</w:t>
      </w:r>
      <w:r w:rsidRPr="00C56FBE">
        <w:rPr>
          <w:rFonts w:ascii="Times New Roman" w:hAnsi="Times New Roman" w:cs="Times New Roman"/>
          <w:sz w:val="24"/>
          <w:szCs w:val="24"/>
        </w:rPr>
        <w:t xml:space="preserve"> </w:t>
      </w:r>
      <w:r w:rsidR="00B609F4" w:rsidRPr="00C56FBE">
        <w:rPr>
          <w:rFonts w:ascii="Times New Roman" w:hAnsi="Times New Roman" w:cs="Times New Roman"/>
          <w:sz w:val="24"/>
          <w:szCs w:val="24"/>
        </w:rPr>
        <w:t xml:space="preserve">esta medida como una </w:t>
      </w:r>
      <w:r w:rsidRPr="00C56FBE">
        <w:rPr>
          <w:rFonts w:ascii="Times New Roman" w:hAnsi="Times New Roman" w:cs="Times New Roman"/>
          <w:sz w:val="24"/>
          <w:szCs w:val="24"/>
        </w:rPr>
        <w:t xml:space="preserve">medida alternativa, </w:t>
      </w:r>
      <w:r w:rsidR="00B609F4" w:rsidRPr="00C56FBE">
        <w:rPr>
          <w:rFonts w:ascii="Times New Roman" w:hAnsi="Times New Roman" w:cs="Times New Roman"/>
          <w:sz w:val="24"/>
          <w:szCs w:val="24"/>
        </w:rPr>
        <w:t xml:space="preserve">pero la descartó por inidónea. Como se recordará </w:t>
      </w:r>
      <w:r w:rsidR="008535EB">
        <w:rPr>
          <w:rFonts w:ascii="Times New Roman" w:hAnsi="Times New Roman" w:cs="Times New Roman"/>
          <w:sz w:val="24"/>
          <w:szCs w:val="24"/>
        </w:rPr>
        <w:t xml:space="preserve">de la transcripción hecha, </w:t>
      </w:r>
      <w:r w:rsidR="00B609F4" w:rsidRPr="00C56FBE">
        <w:rPr>
          <w:rFonts w:ascii="Times New Roman" w:hAnsi="Times New Roman" w:cs="Times New Roman"/>
          <w:sz w:val="24"/>
          <w:szCs w:val="24"/>
        </w:rPr>
        <w:t xml:space="preserve">sin justificación alguna </w:t>
      </w:r>
      <w:r w:rsidR="008535EB">
        <w:rPr>
          <w:rFonts w:ascii="Times New Roman" w:hAnsi="Times New Roman" w:cs="Times New Roman"/>
          <w:sz w:val="24"/>
          <w:szCs w:val="24"/>
        </w:rPr>
        <w:t xml:space="preserve">el Juez </w:t>
      </w:r>
      <w:r w:rsidR="00B609F4" w:rsidRPr="00C56FBE">
        <w:rPr>
          <w:rFonts w:ascii="Times New Roman" w:hAnsi="Times New Roman" w:cs="Times New Roman"/>
          <w:sz w:val="24"/>
          <w:szCs w:val="24"/>
        </w:rPr>
        <w:t xml:space="preserve">dijo que era </w:t>
      </w:r>
      <w:r w:rsidR="008535EB">
        <w:rPr>
          <w:rFonts w:ascii="Times New Roman" w:hAnsi="Times New Roman" w:cs="Times New Roman"/>
          <w:sz w:val="24"/>
          <w:szCs w:val="24"/>
        </w:rPr>
        <w:t xml:space="preserve">una medida </w:t>
      </w:r>
      <w:r w:rsidR="00B609F4" w:rsidRPr="00C56FBE">
        <w:rPr>
          <w:rFonts w:ascii="Times New Roman" w:hAnsi="Times New Roman" w:cs="Times New Roman"/>
          <w:sz w:val="24"/>
          <w:szCs w:val="24"/>
        </w:rPr>
        <w:t xml:space="preserve">inidónea porque </w:t>
      </w:r>
      <w:r w:rsidR="00B609F4" w:rsidRPr="00C56FBE">
        <w:rPr>
          <w:rFonts w:ascii="Times New Roman" w:hAnsi="Times New Roman" w:cs="Times New Roman"/>
          <w:b/>
          <w:sz w:val="24"/>
          <w:szCs w:val="24"/>
        </w:rPr>
        <w:t xml:space="preserve">es </w:t>
      </w:r>
      <w:r w:rsidR="00B609F4" w:rsidRPr="00C56FBE">
        <w:rPr>
          <w:rFonts w:ascii="Times New Roman" w:hAnsi="Times New Roman" w:cs="Times New Roman"/>
          <w:b/>
          <w:sz w:val="24"/>
          <w:szCs w:val="24"/>
        </w:rPr>
        <w:lastRenderedPageBreak/>
        <w:t>altamente probable que mientras se efectúe el trámite, es probable que su titular o terceros desaparezcan dichos objetos.</w:t>
      </w:r>
    </w:p>
    <w:p w:rsidR="00B609F4" w:rsidRPr="00C56FBE" w:rsidRDefault="00B609F4"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No solo no existía ninguna razón –y por eso no fue dada ninguna razón por el Juez</w:t>
      </w:r>
      <w:r w:rsidR="00BB774A">
        <w:rPr>
          <w:rFonts w:ascii="Times New Roman" w:hAnsi="Times New Roman" w:cs="Times New Roman"/>
          <w:sz w:val="24"/>
          <w:szCs w:val="24"/>
        </w:rPr>
        <w:t>–</w:t>
      </w:r>
      <w:r w:rsidRPr="00C56FBE">
        <w:rPr>
          <w:rFonts w:ascii="Times New Roman" w:hAnsi="Times New Roman" w:cs="Times New Roman"/>
          <w:sz w:val="24"/>
          <w:szCs w:val="24"/>
        </w:rPr>
        <w:t>, para sostener que los investigados no se iban a mostrar colaborativos con la justicia, ya sea impidiendo el ingre</w:t>
      </w:r>
      <w:r w:rsidR="00BB774A">
        <w:rPr>
          <w:rFonts w:ascii="Times New Roman" w:hAnsi="Times New Roman" w:cs="Times New Roman"/>
          <w:sz w:val="24"/>
          <w:szCs w:val="24"/>
        </w:rPr>
        <w:t>so de la autoridad</w:t>
      </w:r>
      <w:r w:rsidR="00BB774A">
        <w:rPr>
          <w:rStyle w:val="Refdenotaalpie"/>
          <w:rFonts w:ascii="Times New Roman" w:hAnsi="Times New Roman" w:cs="Times New Roman"/>
          <w:sz w:val="24"/>
          <w:szCs w:val="24"/>
        </w:rPr>
        <w:footnoteReference w:id="20"/>
      </w:r>
      <w:r w:rsidRPr="00C56FBE">
        <w:rPr>
          <w:rFonts w:ascii="Times New Roman" w:hAnsi="Times New Roman" w:cs="Times New Roman"/>
          <w:sz w:val="24"/>
          <w:szCs w:val="24"/>
        </w:rPr>
        <w:t>, o ya sea desapareciendo las cosas relevant</w:t>
      </w:r>
      <w:r w:rsidR="00BB774A">
        <w:rPr>
          <w:rFonts w:ascii="Times New Roman" w:hAnsi="Times New Roman" w:cs="Times New Roman"/>
          <w:sz w:val="24"/>
          <w:szCs w:val="24"/>
        </w:rPr>
        <w:t>es para la investigación</w:t>
      </w:r>
      <w:r w:rsidR="00BB774A">
        <w:rPr>
          <w:rStyle w:val="Refdenotaalpie"/>
          <w:rFonts w:ascii="Times New Roman" w:hAnsi="Times New Roman" w:cs="Times New Roman"/>
          <w:sz w:val="24"/>
          <w:szCs w:val="24"/>
        </w:rPr>
        <w:footnoteReference w:id="21"/>
      </w:r>
      <w:r w:rsidRPr="00C56FBE">
        <w:rPr>
          <w:rFonts w:ascii="Times New Roman" w:hAnsi="Times New Roman" w:cs="Times New Roman"/>
          <w:sz w:val="24"/>
          <w:szCs w:val="24"/>
        </w:rPr>
        <w:t xml:space="preserve">, sino que </w:t>
      </w:r>
      <w:r w:rsidR="008535EB">
        <w:rPr>
          <w:rFonts w:ascii="Times New Roman" w:hAnsi="Times New Roman" w:cs="Times New Roman"/>
          <w:sz w:val="24"/>
          <w:szCs w:val="24"/>
        </w:rPr>
        <w:t xml:space="preserve">era posible concluir todo lo contrario: </w:t>
      </w:r>
      <w:r w:rsidRPr="00C56FBE">
        <w:rPr>
          <w:rFonts w:ascii="Times New Roman" w:hAnsi="Times New Roman" w:cs="Times New Roman"/>
          <w:sz w:val="24"/>
          <w:szCs w:val="24"/>
        </w:rPr>
        <w:t>debido al prestigio del que goza el Estudio Oré Guardia y, en particular su Gerente general, el Dr. Arsenio Oré Guardia, debió haber sido previsible para el Juez que</w:t>
      </w:r>
      <w:r w:rsidR="0065180E">
        <w:rPr>
          <w:rFonts w:ascii="Times New Roman" w:hAnsi="Times New Roman" w:cs="Times New Roman"/>
          <w:sz w:val="24"/>
          <w:szCs w:val="24"/>
        </w:rPr>
        <w:t>,</w:t>
      </w:r>
      <w:r w:rsidRPr="00C56FBE">
        <w:rPr>
          <w:rFonts w:ascii="Times New Roman" w:hAnsi="Times New Roman" w:cs="Times New Roman"/>
          <w:sz w:val="24"/>
          <w:szCs w:val="24"/>
        </w:rPr>
        <w:t xml:space="preserve"> precisamente en resguardo de ese prestigio por todos reconocido, no iba a oponerse a la entrega de la información </w:t>
      </w:r>
      <w:r w:rsidR="0065180E">
        <w:rPr>
          <w:rFonts w:ascii="Times New Roman" w:hAnsi="Times New Roman" w:cs="Times New Roman"/>
          <w:sz w:val="24"/>
          <w:szCs w:val="24"/>
        </w:rPr>
        <w:t xml:space="preserve">contable o administrativa </w:t>
      </w:r>
      <w:r w:rsidRPr="00C56FBE">
        <w:rPr>
          <w:rFonts w:ascii="Times New Roman" w:hAnsi="Times New Roman" w:cs="Times New Roman"/>
          <w:sz w:val="24"/>
          <w:szCs w:val="24"/>
        </w:rPr>
        <w:t xml:space="preserve">que se </w:t>
      </w:r>
      <w:r w:rsidR="0065180E">
        <w:rPr>
          <w:rFonts w:ascii="Times New Roman" w:hAnsi="Times New Roman" w:cs="Times New Roman"/>
          <w:sz w:val="24"/>
          <w:szCs w:val="24"/>
        </w:rPr>
        <w:t xml:space="preserve">le </w:t>
      </w:r>
      <w:r w:rsidRPr="00C56FBE">
        <w:rPr>
          <w:rFonts w:ascii="Times New Roman" w:hAnsi="Times New Roman" w:cs="Times New Roman"/>
          <w:sz w:val="24"/>
          <w:szCs w:val="24"/>
        </w:rPr>
        <w:t>hubiese solicitado. De hecho, finalmente así ocurrió en los hechos, pues cuando se allana el</w:t>
      </w:r>
      <w:r w:rsidR="0065180E">
        <w:rPr>
          <w:rFonts w:ascii="Times New Roman" w:hAnsi="Times New Roman" w:cs="Times New Roman"/>
          <w:sz w:val="24"/>
          <w:szCs w:val="24"/>
        </w:rPr>
        <w:t xml:space="preserve"> referido Estudio, y se le solicita </w:t>
      </w:r>
      <w:r w:rsidRPr="00C56FBE">
        <w:rPr>
          <w:rFonts w:ascii="Times New Roman" w:hAnsi="Times New Roman" w:cs="Times New Roman"/>
          <w:sz w:val="24"/>
          <w:szCs w:val="24"/>
        </w:rPr>
        <w:t xml:space="preserve">la información contable, es el propio Dr. Arsenio Oré Guardia quien conduce al fiscal </w:t>
      </w:r>
      <w:r w:rsidR="00162937" w:rsidRPr="00C56FBE">
        <w:rPr>
          <w:rFonts w:ascii="Times New Roman" w:hAnsi="Times New Roman" w:cs="Times New Roman"/>
          <w:sz w:val="24"/>
          <w:szCs w:val="24"/>
        </w:rPr>
        <w:t>al inmueble de ACEMSA</w:t>
      </w:r>
      <w:r w:rsidR="0065180E">
        <w:rPr>
          <w:rFonts w:ascii="Times New Roman" w:hAnsi="Times New Roman" w:cs="Times New Roman"/>
          <w:sz w:val="24"/>
          <w:szCs w:val="24"/>
        </w:rPr>
        <w:t xml:space="preserve"> (Calle Dalton 237, San Borja)</w:t>
      </w:r>
      <w:r w:rsidR="00162937" w:rsidRPr="00C56FBE">
        <w:rPr>
          <w:rFonts w:ascii="Times New Roman" w:hAnsi="Times New Roman" w:cs="Times New Roman"/>
          <w:sz w:val="24"/>
          <w:szCs w:val="24"/>
        </w:rPr>
        <w:t>, y solicita a ésta que le m</w:t>
      </w:r>
      <w:r w:rsidR="0065180E">
        <w:rPr>
          <w:rFonts w:ascii="Times New Roman" w:hAnsi="Times New Roman" w:cs="Times New Roman"/>
          <w:sz w:val="24"/>
          <w:szCs w:val="24"/>
        </w:rPr>
        <w:t>uestre al F</w:t>
      </w:r>
      <w:r w:rsidR="00162937" w:rsidRPr="00C56FBE">
        <w:rPr>
          <w:rFonts w:ascii="Times New Roman" w:hAnsi="Times New Roman" w:cs="Times New Roman"/>
          <w:sz w:val="24"/>
          <w:szCs w:val="24"/>
        </w:rPr>
        <w:t>iscal la información contable del Estudio</w:t>
      </w:r>
      <w:r w:rsidR="00162937" w:rsidRPr="00C56FBE">
        <w:rPr>
          <w:rStyle w:val="Refdenotaalpie"/>
          <w:rFonts w:ascii="Times New Roman" w:hAnsi="Times New Roman" w:cs="Times New Roman"/>
          <w:sz w:val="24"/>
          <w:szCs w:val="24"/>
        </w:rPr>
        <w:footnoteReference w:id="22"/>
      </w:r>
      <w:r w:rsidR="00162937" w:rsidRPr="00C56FBE">
        <w:rPr>
          <w:rFonts w:ascii="Times New Roman" w:hAnsi="Times New Roman" w:cs="Times New Roman"/>
          <w:sz w:val="24"/>
          <w:szCs w:val="24"/>
        </w:rPr>
        <w:t>.</w:t>
      </w:r>
    </w:p>
    <w:p w:rsidR="00367F12" w:rsidRPr="00C56FBE" w:rsidRDefault="00162937" w:rsidP="00C97E04">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 xml:space="preserve">Por estas dos razones se </w:t>
      </w:r>
      <w:r w:rsidR="005C1D66" w:rsidRPr="00C56FBE">
        <w:rPr>
          <w:rFonts w:ascii="Times New Roman" w:hAnsi="Times New Roman" w:cs="Times New Roman"/>
          <w:sz w:val="24"/>
          <w:szCs w:val="24"/>
        </w:rPr>
        <w:t xml:space="preserve">debe concluir </w:t>
      </w:r>
      <w:r w:rsidRPr="00C56FBE">
        <w:rPr>
          <w:rFonts w:ascii="Times New Roman" w:hAnsi="Times New Roman" w:cs="Times New Roman"/>
          <w:sz w:val="24"/>
          <w:szCs w:val="24"/>
        </w:rPr>
        <w:t>que la medida de allanamiento emitida por el Juez, es una medida desproporcionada por innecesaria</w:t>
      </w:r>
      <w:r w:rsidR="0065180E">
        <w:rPr>
          <w:rFonts w:ascii="Times New Roman" w:hAnsi="Times New Roman" w:cs="Times New Roman"/>
          <w:sz w:val="24"/>
          <w:szCs w:val="24"/>
        </w:rPr>
        <w:t>: existían dos medidas alternativas al allanamiento a través de las cuales se podía conseguir la finalidad que buscaba el allanamiento, pero sin poner en riesgo o afectar el derecho fundamental al secreto profesional que, a decir del Juez, es el que está afectado por su medida de allanamiento</w:t>
      </w:r>
      <w:r w:rsidRPr="00C56FBE">
        <w:rPr>
          <w:rFonts w:ascii="Times New Roman" w:hAnsi="Times New Roman" w:cs="Times New Roman"/>
          <w:sz w:val="24"/>
          <w:szCs w:val="24"/>
        </w:rPr>
        <w:t xml:space="preserve">. La </w:t>
      </w:r>
      <w:r w:rsidR="00C314A3" w:rsidRPr="00C56FBE">
        <w:rPr>
          <w:rFonts w:ascii="Times New Roman" w:hAnsi="Times New Roman" w:cs="Times New Roman"/>
          <w:sz w:val="24"/>
          <w:szCs w:val="24"/>
        </w:rPr>
        <w:t xml:space="preserve">consecuencia ineludible </w:t>
      </w:r>
      <w:r w:rsidRPr="00C56FBE">
        <w:rPr>
          <w:rFonts w:ascii="Times New Roman" w:hAnsi="Times New Roman" w:cs="Times New Roman"/>
          <w:sz w:val="24"/>
          <w:szCs w:val="24"/>
        </w:rPr>
        <w:t xml:space="preserve">es que la medida de allanamiento deja de ser una medida de afectación del </w:t>
      </w:r>
      <w:r w:rsidR="00C314A3" w:rsidRPr="00C56FBE">
        <w:rPr>
          <w:rFonts w:ascii="Times New Roman" w:hAnsi="Times New Roman" w:cs="Times New Roman"/>
          <w:sz w:val="24"/>
          <w:szCs w:val="24"/>
        </w:rPr>
        <w:t xml:space="preserve">derecho fundamental al </w:t>
      </w:r>
      <w:r w:rsidRPr="00C56FBE">
        <w:rPr>
          <w:rFonts w:ascii="Times New Roman" w:hAnsi="Times New Roman" w:cs="Times New Roman"/>
          <w:sz w:val="24"/>
          <w:szCs w:val="24"/>
        </w:rPr>
        <w:t>secreto profesional, pa</w:t>
      </w:r>
      <w:r w:rsidR="002D0679" w:rsidRPr="00C56FBE">
        <w:rPr>
          <w:rFonts w:ascii="Times New Roman" w:hAnsi="Times New Roman" w:cs="Times New Roman"/>
          <w:sz w:val="24"/>
          <w:szCs w:val="24"/>
        </w:rPr>
        <w:t>ra convertirse en una medida vulneradora del</w:t>
      </w:r>
      <w:r w:rsidR="00937279">
        <w:rPr>
          <w:rFonts w:ascii="Times New Roman" w:hAnsi="Times New Roman" w:cs="Times New Roman"/>
          <w:sz w:val="24"/>
          <w:szCs w:val="24"/>
        </w:rPr>
        <w:t xml:space="preserve"> mismo.</w:t>
      </w:r>
    </w:p>
    <w:p w:rsidR="00A83DD2" w:rsidRDefault="00A83DD2" w:rsidP="005C1D66">
      <w:pPr>
        <w:spacing w:before="120" w:after="120" w:line="320" w:lineRule="exact"/>
        <w:jc w:val="both"/>
        <w:rPr>
          <w:rFonts w:ascii="Times New Roman" w:hAnsi="Times New Roman" w:cs="Times New Roman"/>
          <w:b/>
          <w:smallCaps/>
          <w:sz w:val="24"/>
          <w:szCs w:val="24"/>
        </w:rPr>
      </w:pPr>
    </w:p>
    <w:p w:rsidR="005C1D66" w:rsidRPr="00C56FBE" w:rsidRDefault="00400F4D" w:rsidP="005C1D66">
      <w:pPr>
        <w:spacing w:before="120" w:after="120" w:line="320" w:lineRule="exact"/>
        <w:jc w:val="both"/>
        <w:rPr>
          <w:rFonts w:ascii="Times New Roman" w:hAnsi="Times New Roman" w:cs="Times New Roman"/>
          <w:b/>
          <w:smallCaps/>
          <w:sz w:val="24"/>
          <w:szCs w:val="24"/>
        </w:rPr>
      </w:pPr>
      <w:r>
        <w:rPr>
          <w:rFonts w:ascii="Times New Roman" w:hAnsi="Times New Roman" w:cs="Times New Roman"/>
          <w:b/>
          <w:smallCaps/>
          <w:sz w:val="24"/>
          <w:szCs w:val="24"/>
        </w:rPr>
        <w:t>V</w:t>
      </w:r>
      <w:r w:rsidR="005C1D66" w:rsidRPr="00C56FBE">
        <w:rPr>
          <w:rFonts w:ascii="Times New Roman" w:hAnsi="Times New Roman" w:cs="Times New Roman"/>
          <w:b/>
          <w:smallCaps/>
          <w:sz w:val="24"/>
          <w:szCs w:val="24"/>
        </w:rPr>
        <w:t xml:space="preserve">. </w:t>
      </w:r>
      <w:r w:rsidR="00CF7EBC" w:rsidRPr="00C56FBE">
        <w:rPr>
          <w:rFonts w:ascii="Times New Roman" w:hAnsi="Times New Roman" w:cs="Times New Roman"/>
          <w:b/>
          <w:smallCaps/>
          <w:sz w:val="24"/>
          <w:szCs w:val="24"/>
        </w:rPr>
        <w:t>La vulneración de</w:t>
      </w:r>
      <w:r w:rsidR="005C1D66" w:rsidRPr="00C56FBE">
        <w:rPr>
          <w:rFonts w:ascii="Times New Roman" w:hAnsi="Times New Roman" w:cs="Times New Roman"/>
          <w:b/>
          <w:smallCaps/>
          <w:sz w:val="24"/>
          <w:szCs w:val="24"/>
        </w:rPr>
        <w:t>l valor de la Persona y sus derechos humanos</w:t>
      </w:r>
    </w:p>
    <w:p w:rsidR="0033787D" w:rsidRDefault="005C1D66" w:rsidP="005C1D66">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Par</w:t>
      </w:r>
      <w:r w:rsidR="0065180E">
        <w:rPr>
          <w:rFonts w:ascii="Times New Roman" w:hAnsi="Times New Roman" w:cs="Times New Roman"/>
          <w:sz w:val="24"/>
          <w:szCs w:val="24"/>
        </w:rPr>
        <w:t>a el Constituyente peruano, la P</w:t>
      </w:r>
      <w:r w:rsidRPr="00C56FBE">
        <w:rPr>
          <w:rFonts w:ascii="Times New Roman" w:hAnsi="Times New Roman" w:cs="Times New Roman"/>
          <w:sz w:val="24"/>
          <w:szCs w:val="24"/>
        </w:rPr>
        <w:t xml:space="preserve">ersona tiene valor de fin (artículo 1), lo que ha supuesto que los derechos humanos tengan también valor de fin. Reconocer que la Persona y sus derechos humanos tienen condición de fin dentro de un sistema jurídico y político, ha llevado al Tribunal Constitucional a reconocer que </w:t>
      </w:r>
    </w:p>
    <w:p w:rsidR="005C1D66" w:rsidRPr="00C56FBE" w:rsidRDefault="005C1D66" w:rsidP="0033787D">
      <w:pPr>
        <w:spacing w:before="120" w:after="120" w:line="320" w:lineRule="exact"/>
        <w:ind w:left="567" w:right="566"/>
        <w:jc w:val="both"/>
        <w:rPr>
          <w:rFonts w:ascii="Times New Roman" w:hAnsi="Times New Roman" w:cs="Times New Roman"/>
          <w:sz w:val="24"/>
          <w:szCs w:val="24"/>
        </w:rPr>
      </w:pPr>
      <w:r w:rsidRPr="00C56FBE">
        <w:rPr>
          <w:rFonts w:ascii="Times New Roman" w:hAnsi="Times New Roman" w:cs="Times New Roman"/>
          <w:sz w:val="24"/>
          <w:szCs w:val="24"/>
        </w:rPr>
        <w:t xml:space="preserve">“al lado de la idea de los derechos fundamentales como derechos subjetivos, también hay que reconocer en ellos el establecimiento de verdaderos valores supremos, es decir, el componente estructural básico del orden constitucional, ‘en razón de que son la expresión jurídica de un sistema de valores, que, por decisión del constituyente, ha de informar el conjunto de la organización </w:t>
      </w:r>
      <w:r w:rsidRPr="00C56FBE">
        <w:rPr>
          <w:rFonts w:ascii="Times New Roman" w:hAnsi="Times New Roman" w:cs="Times New Roman"/>
          <w:sz w:val="24"/>
          <w:szCs w:val="24"/>
        </w:rPr>
        <w:lastRenderedPageBreak/>
        <w:t>jurídica y política (...), el fundamento del orden jurídico y de la paz social’</w:t>
      </w:r>
      <w:r w:rsidR="00CF7EBC" w:rsidRPr="00C56FBE">
        <w:rPr>
          <w:rFonts w:ascii="Times New Roman" w:hAnsi="Times New Roman" w:cs="Times New Roman"/>
          <w:sz w:val="24"/>
          <w:szCs w:val="24"/>
        </w:rPr>
        <w:t xml:space="preserve"> </w:t>
      </w:r>
      <w:r w:rsidRPr="00C56FBE">
        <w:rPr>
          <w:rFonts w:ascii="Times New Roman" w:hAnsi="Times New Roman" w:cs="Times New Roman"/>
          <w:sz w:val="24"/>
          <w:szCs w:val="24"/>
        </w:rPr>
        <w:t>”</w:t>
      </w:r>
      <w:r w:rsidRPr="00C56FBE">
        <w:rPr>
          <w:rStyle w:val="Refdenotaalpie"/>
          <w:rFonts w:ascii="Times New Roman" w:hAnsi="Times New Roman" w:cs="Times New Roman"/>
          <w:sz w:val="24"/>
          <w:szCs w:val="24"/>
        </w:rPr>
        <w:footnoteReference w:id="23"/>
      </w:r>
      <w:r w:rsidRPr="00C56FBE">
        <w:rPr>
          <w:rFonts w:ascii="Times New Roman" w:hAnsi="Times New Roman" w:cs="Times New Roman"/>
          <w:sz w:val="24"/>
          <w:szCs w:val="24"/>
        </w:rPr>
        <w:t>.</w:t>
      </w:r>
    </w:p>
    <w:p w:rsidR="005C1D66" w:rsidRPr="00C56FBE" w:rsidRDefault="00F67FBF" w:rsidP="005C1D66">
      <w:pPr>
        <w:spacing w:before="120" w:after="120" w:line="320" w:lineRule="exact"/>
        <w:jc w:val="both"/>
        <w:rPr>
          <w:rFonts w:ascii="Times New Roman" w:hAnsi="Times New Roman" w:cs="Times New Roman"/>
          <w:sz w:val="24"/>
          <w:szCs w:val="24"/>
        </w:rPr>
      </w:pPr>
      <w:r>
        <w:rPr>
          <w:rFonts w:ascii="Times New Roman" w:hAnsi="Times New Roman" w:cs="Times New Roman"/>
          <w:sz w:val="24"/>
          <w:szCs w:val="24"/>
        </w:rPr>
        <w:t xml:space="preserve">Los derechos fundamentales no solo valen para su concreto titular, sino también para el entero sistema jurídico y político: son verdaderos valores supremos que componen la base de este sistema. Este es el significado de su dimensión objetiva. </w:t>
      </w:r>
      <w:r w:rsidR="005C1D66" w:rsidRPr="00C56FBE">
        <w:rPr>
          <w:rFonts w:ascii="Times New Roman" w:hAnsi="Times New Roman" w:cs="Times New Roman"/>
          <w:sz w:val="24"/>
          <w:szCs w:val="24"/>
        </w:rPr>
        <w:t xml:space="preserve">Esto permite reconocer </w:t>
      </w:r>
      <w:r w:rsidR="0033787D">
        <w:rPr>
          <w:rFonts w:ascii="Times New Roman" w:hAnsi="Times New Roman" w:cs="Times New Roman"/>
          <w:sz w:val="24"/>
          <w:szCs w:val="24"/>
        </w:rPr>
        <w:t xml:space="preserve">el surgimiento de </w:t>
      </w:r>
      <w:r w:rsidR="005C1D66" w:rsidRPr="00C56FBE">
        <w:rPr>
          <w:rFonts w:ascii="Times New Roman" w:hAnsi="Times New Roman" w:cs="Times New Roman"/>
          <w:sz w:val="24"/>
          <w:szCs w:val="24"/>
        </w:rPr>
        <w:t xml:space="preserve">una serie de deberes. Uno de ellos ha sido recogido por el Constituyente peruano como un deber esencial del Estado peruano: velar por la plena vigencia de los derechos humanos (artículo 44). </w:t>
      </w:r>
      <w:r w:rsidR="00CF7EBC" w:rsidRPr="00C56FBE">
        <w:rPr>
          <w:rFonts w:ascii="Times New Roman" w:hAnsi="Times New Roman" w:cs="Times New Roman"/>
          <w:sz w:val="24"/>
          <w:szCs w:val="24"/>
        </w:rPr>
        <w:t>Los derechos humanos, que son los derechos fundamentales una vez que han sido constitucionalizados, tienen una dimensión objetiva que, e</w:t>
      </w:r>
      <w:r w:rsidR="005C1D66" w:rsidRPr="00C56FBE">
        <w:rPr>
          <w:rFonts w:ascii="Times New Roman" w:hAnsi="Times New Roman" w:cs="Times New Roman"/>
          <w:sz w:val="24"/>
          <w:szCs w:val="24"/>
        </w:rPr>
        <w:t>n palabras del T</w:t>
      </w:r>
      <w:r w:rsidR="00CF7EBC" w:rsidRPr="00C56FBE">
        <w:rPr>
          <w:rFonts w:ascii="Times New Roman" w:hAnsi="Times New Roman" w:cs="Times New Roman"/>
          <w:sz w:val="24"/>
          <w:szCs w:val="24"/>
        </w:rPr>
        <w:t xml:space="preserve">ribunal </w:t>
      </w:r>
      <w:r w:rsidR="005C1D66" w:rsidRPr="00C56FBE">
        <w:rPr>
          <w:rFonts w:ascii="Times New Roman" w:hAnsi="Times New Roman" w:cs="Times New Roman"/>
          <w:sz w:val="24"/>
          <w:szCs w:val="24"/>
        </w:rPr>
        <w:t>C</w:t>
      </w:r>
      <w:r w:rsidR="00CF7EBC" w:rsidRPr="00C56FBE">
        <w:rPr>
          <w:rFonts w:ascii="Times New Roman" w:hAnsi="Times New Roman" w:cs="Times New Roman"/>
          <w:sz w:val="24"/>
          <w:szCs w:val="24"/>
        </w:rPr>
        <w:t>onstitucional</w:t>
      </w:r>
      <w:r w:rsidR="005C1D66" w:rsidRPr="00C56FBE">
        <w:rPr>
          <w:rFonts w:ascii="Times New Roman" w:hAnsi="Times New Roman" w:cs="Times New Roman"/>
          <w:sz w:val="24"/>
          <w:szCs w:val="24"/>
        </w:rPr>
        <w:t xml:space="preserve">, “se traduce, </w:t>
      </w:r>
      <w:r>
        <w:rPr>
          <w:rFonts w:ascii="Times New Roman" w:hAnsi="Times New Roman" w:cs="Times New Roman"/>
          <w:sz w:val="24"/>
          <w:szCs w:val="24"/>
        </w:rPr>
        <w:t>(…)</w:t>
      </w:r>
      <w:r w:rsidR="005C1D66" w:rsidRPr="00C56FBE">
        <w:rPr>
          <w:rFonts w:ascii="Times New Roman" w:hAnsi="Times New Roman" w:cs="Times New Roman"/>
          <w:sz w:val="24"/>
          <w:szCs w:val="24"/>
        </w:rPr>
        <w:t>, en imponer, sobre todos los organismos públicos, un deber de tutelar dichos derechos”</w:t>
      </w:r>
      <w:r w:rsidR="005C1D66" w:rsidRPr="00C56FBE">
        <w:rPr>
          <w:rStyle w:val="Refdenotaalpie"/>
          <w:rFonts w:ascii="Times New Roman" w:hAnsi="Times New Roman" w:cs="Times New Roman"/>
          <w:sz w:val="24"/>
          <w:szCs w:val="24"/>
        </w:rPr>
        <w:footnoteReference w:id="24"/>
      </w:r>
      <w:r w:rsidR="005C1D66" w:rsidRPr="00C56FBE">
        <w:rPr>
          <w:rFonts w:ascii="Times New Roman" w:hAnsi="Times New Roman" w:cs="Times New Roman"/>
          <w:sz w:val="24"/>
          <w:szCs w:val="24"/>
        </w:rPr>
        <w:t>.</w:t>
      </w:r>
      <w:r>
        <w:rPr>
          <w:rFonts w:ascii="Times New Roman" w:hAnsi="Times New Roman" w:cs="Times New Roman"/>
          <w:sz w:val="24"/>
          <w:szCs w:val="24"/>
        </w:rPr>
        <w:t xml:space="preserve"> Deber del que no escapa ni el Juez ni el Fiscal.</w:t>
      </w:r>
    </w:p>
    <w:p w:rsidR="005C1D66" w:rsidRPr="00C56FBE" w:rsidRDefault="005C1D66" w:rsidP="005C1D66">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Debido a que los derechos fundamentales valen como fin y que representan el componente estructural básico del orden constitucional, es que toda medida que afecte el contenido constitucional</w:t>
      </w:r>
      <w:r w:rsidR="00F67FBF">
        <w:rPr>
          <w:rFonts w:ascii="Times New Roman" w:hAnsi="Times New Roman" w:cs="Times New Roman"/>
          <w:sz w:val="24"/>
          <w:szCs w:val="24"/>
        </w:rPr>
        <w:t xml:space="preserve"> de un derecho fundamental, debe</w:t>
      </w:r>
      <w:r w:rsidRPr="00C56FBE">
        <w:rPr>
          <w:rFonts w:ascii="Times New Roman" w:hAnsi="Times New Roman" w:cs="Times New Roman"/>
          <w:sz w:val="24"/>
          <w:szCs w:val="24"/>
        </w:rPr>
        <w:t xml:space="preserve"> estar suficientemente justificada. Si no lo estuviese, la medida afectadora se convertiría en una medida vulneradora del derecho fundamental. Según la</w:t>
      </w:r>
      <w:r w:rsidR="00CF7EBC" w:rsidRPr="00C56FBE">
        <w:rPr>
          <w:rFonts w:ascii="Times New Roman" w:hAnsi="Times New Roman" w:cs="Times New Roman"/>
          <w:sz w:val="24"/>
          <w:szCs w:val="24"/>
        </w:rPr>
        <w:t>s</w:t>
      </w:r>
      <w:r w:rsidRPr="00C56FBE">
        <w:rPr>
          <w:rFonts w:ascii="Times New Roman" w:hAnsi="Times New Roman" w:cs="Times New Roman"/>
          <w:sz w:val="24"/>
          <w:szCs w:val="24"/>
        </w:rPr>
        <w:t xml:space="preserve"> Resoluci</w:t>
      </w:r>
      <w:r w:rsidR="00CF7EBC" w:rsidRPr="00C56FBE">
        <w:rPr>
          <w:rFonts w:ascii="Times New Roman" w:hAnsi="Times New Roman" w:cs="Times New Roman"/>
          <w:sz w:val="24"/>
          <w:szCs w:val="24"/>
        </w:rPr>
        <w:t>o</w:t>
      </w:r>
      <w:r w:rsidRPr="00C56FBE">
        <w:rPr>
          <w:rFonts w:ascii="Times New Roman" w:hAnsi="Times New Roman" w:cs="Times New Roman"/>
          <w:sz w:val="24"/>
          <w:szCs w:val="24"/>
        </w:rPr>
        <w:t>n</w:t>
      </w:r>
      <w:r w:rsidR="00CF7EBC" w:rsidRPr="00C56FBE">
        <w:rPr>
          <w:rFonts w:ascii="Times New Roman" w:hAnsi="Times New Roman" w:cs="Times New Roman"/>
          <w:sz w:val="24"/>
          <w:szCs w:val="24"/>
        </w:rPr>
        <w:t>es</w:t>
      </w:r>
      <w:r w:rsidRPr="00C56FBE">
        <w:rPr>
          <w:rFonts w:ascii="Times New Roman" w:hAnsi="Times New Roman" w:cs="Times New Roman"/>
          <w:sz w:val="24"/>
          <w:szCs w:val="24"/>
        </w:rPr>
        <w:t xml:space="preserve"> judicial</w:t>
      </w:r>
      <w:r w:rsidR="00CF7EBC" w:rsidRPr="00C56FBE">
        <w:rPr>
          <w:rFonts w:ascii="Times New Roman" w:hAnsi="Times New Roman" w:cs="Times New Roman"/>
          <w:sz w:val="24"/>
          <w:szCs w:val="24"/>
        </w:rPr>
        <w:t>es</w:t>
      </w:r>
      <w:r w:rsidRPr="00C56FBE">
        <w:rPr>
          <w:rFonts w:ascii="Times New Roman" w:hAnsi="Times New Roman" w:cs="Times New Roman"/>
          <w:sz w:val="24"/>
          <w:szCs w:val="24"/>
        </w:rPr>
        <w:t xml:space="preserve"> de allanamiento, el derecho afectado con ella es el derecho fundamental al secreto profesional</w:t>
      </w:r>
      <w:r w:rsidR="00F67FBF">
        <w:rPr>
          <w:rStyle w:val="Refdenotaalpie"/>
          <w:rFonts w:ascii="Times New Roman" w:hAnsi="Times New Roman" w:cs="Times New Roman"/>
          <w:sz w:val="24"/>
          <w:szCs w:val="24"/>
        </w:rPr>
        <w:footnoteReference w:id="25"/>
      </w:r>
      <w:r w:rsidRPr="00C56FBE">
        <w:rPr>
          <w:rFonts w:ascii="Times New Roman" w:hAnsi="Times New Roman" w:cs="Times New Roman"/>
          <w:sz w:val="24"/>
          <w:szCs w:val="24"/>
        </w:rPr>
        <w:t>.</w:t>
      </w:r>
    </w:p>
    <w:p w:rsidR="00367F12" w:rsidRPr="00C56FBE" w:rsidRDefault="005C1D66" w:rsidP="005C1D66">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 xml:space="preserve">Sin embargo, </w:t>
      </w:r>
      <w:r w:rsidR="00CF7EBC" w:rsidRPr="00C56FBE">
        <w:rPr>
          <w:rFonts w:ascii="Times New Roman" w:hAnsi="Times New Roman" w:cs="Times New Roman"/>
          <w:sz w:val="24"/>
          <w:szCs w:val="24"/>
        </w:rPr>
        <w:t xml:space="preserve">y como se ha justificado ya, </w:t>
      </w:r>
      <w:r w:rsidRPr="00C56FBE">
        <w:rPr>
          <w:rFonts w:ascii="Times New Roman" w:hAnsi="Times New Roman" w:cs="Times New Roman"/>
          <w:sz w:val="24"/>
          <w:szCs w:val="24"/>
        </w:rPr>
        <w:t xml:space="preserve">de </w:t>
      </w:r>
      <w:r w:rsidR="00CF7EBC" w:rsidRPr="00C56FBE">
        <w:rPr>
          <w:rFonts w:ascii="Times New Roman" w:hAnsi="Times New Roman" w:cs="Times New Roman"/>
          <w:sz w:val="24"/>
          <w:szCs w:val="24"/>
        </w:rPr>
        <w:t>ambas</w:t>
      </w:r>
      <w:r w:rsidRPr="00C56FBE">
        <w:rPr>
          <w:rFonts w:ascii="Times New Roman" w:hAnsi="Times New Roman" w:cs="Times New Roman"/>
          <w:sz w:val="24"/>
          <w:szCs w:val="24"/>
        </w:rPr>
        <w:t xml:space="preserve"> </w:t>
      </w:r>
      <w:r w:rsidR="00F67FBF">
        <w:rPr>
          <w:rFonts w:ascii="Times New Roman" w:hAnsi="Times New Roman" w:cs="Times New Roman"/>
          <w:sz w:val="24"/>
          <w:szCs w:val="24"/>
        </w:rPr>
        <w:t xml:space="preserve">resoluciones </w:t>
      </w:r>
      <w:r w:rsidRPr="00C56FBE">
        <w:rPr>
          <w:rFonts w:ascii="Times New Roman" w:hAnsi="Times New Roman" w:cs="Times New Roman"/>
          <w:sz w:val="24"/>
          <w:szCs w:val="24"/>
        </w:rPr>
        <w:t>hay que decir que</w:t>
      </w:r>
      <w:r w:rsidR="00F67FBF">
        <w:rPr>
          <w:rFonts w:ascii="Times New Roman" w:hAnsi="Times New Roman" w:cs="Times New Roman"/>
          <w:sz w:val="24"/>
          <w:szCs w:val="24"/>
        </w:rPr>
        <w:t xml:space="preserve"> la medida de allanamiento</w:t>
      </w:r>
      <w:r w:rsidRPr="00C56FBE">
        <w:rPr>
          <w:rFonts w:ascii="Times New Roman" w:hAnsi="Times New Roman" w:cs="Times New Roman"/>
          <w:sz w:val="24"/>
          <w:szCs w:val="24"/>
        </w:rPr>
        <w:t xml:space="preserve"> está</w:t>
      </w:r>
      <w:r w:rsidR="00CF7EBC" w:rsidRPr="00C56FBE">
        <w:rPr>
          <w:rFonts w:ascii="Times New Roman" w:hAnsi="Times New Roman" w:cs="Times New Roman"/>
          <w:sz w:val="24"/>
          <w:szCs w:val="24"/>
        </w:rPr>
        <w:t>n</w:t>
      </w:r>
      <w:r w:rsidRPr="00C56FBE">
        <w:rPr>
          <w:rFonts w:ascii="Times New Roman" w:hAnsi="Times New Roman" w:cs="Times New Roman"/>
          <w:sz w:val="24"/>
          <w:szCs w:val="24"/>
        </w:rPr>
        <w:t xml:space="preserve"> insuficientemente justificada</w:t>
      </w:r>
      <w:r w:rsidR="00CF7EBC" w:rsidRPr="00C56FBE">
        <w:rPr>
          <w:rFonts w:ascii="Times New Roman" w:hAnsi="Times New Roman" w:cs="Times New Roman"/>
          <w:sz w:val="24"/>
          <w:szCs w:val="24"/>
        </w:rPr>
        <w:t>s</w:t>
      </w:r>
      <w:r w:rsidRPr="00C56FBE">
        <w:rPr>
          <w:rFonts w:ascii="Times New Roman" w:hAnsi="Times New Roman" w:cs="Times New Roman"/>
          <w:sz w:val="24"/>
          <w:szCs w:val="24"/>
        </w:rPr>
        <w:t xml:space="preserve">, tanto desde un punto de vista </w:t>
      </w:r>
      <w:r w:rsidR="00CF7EBC" w:rsidRPr="00C56FBE">
        <w:rPr>
          <w:rFonts w:ascii="Times New Roman" w:hAnsi="Times New Roman" w:cs="Times New Roman"/>
          <w:sz w:val="24"/>
          <w:szCs w:val="24"/>
        </w:rPr>
        <w:t xml:space="preserve">de su justificación interna o </w:t>
      </w:r>
      <w:r w:rsidRPr="00C56FBE">
        <w:rPr>
          <w:rFonts w:ascii="Times New Roman" w:hAnsi="Times New Roman" w:cs="Times New Roman"/>
          <w:sz w:val="24"/>
          <w:szCs w:val="24"/>
        </w:rPr>
        <w:t>formal, como desde un punto de vista</w:t>
      </w:r>
      <w:r w:rsidR="00CF7EBC" w:rsidRPr="00C56FBE">
        <w:rPr>
          <w:rFonts w:ascii="Times New Roman" w:hAnsi="Times New Roman" w:cs="Times New Roman"/>
          <w:sz w:val="24"/>
          <w:szCs w:val="24"/>
        </w:rPr>
        <w:t xml:space="preserve"> de su justificación externa o</w:t>
      </w:r>
      <w:r w:rsidRPr="00C56FBE">
        <w:rPr>
          <w:rFonts w:ascii="Times New Roman" w:hAnsi="Times New Roman" w:cs="Times New Roman"/>
          <w:sz w:val="24"/>
          <w:szCs w:val="24"/>
        </w:rPr>
        <w:t xml:space="preserve"> material, lo que</w:t>
      </w:r>
      <w:r w:rsidR="008711EE" w:rsidRPr="00C56FBE">
        <w:rPr>
          <w:rFonts w:ascii="Times New Roman" w:hAnsi="Times New Roman" w:cs="Times New Roman"/>
          <w:sz w:val="24"/>
          <w:szCs w:val="24"/>
        </w:rPr>
        <w:t xml:space="preserve"> a su vez permite</w:t>
      </w:r>
      <w:r w:rsidRPr="00C56FBE">
        <w:rPr>
          <w:rFonts w:ascii="Times New Roman" w:hAnsi="Times New Roman" w:cs="Times New Roman"/>
          <w:sz w:val="24"/>
          <w:szCs w:val="24"/>
        </w:rPr>
        <w:t xml:space="preserve"> reconocer no solo que se ha vulnerado el contenido constitucional del derecho fundamental</w:t>
      </w:r>
      <w:r w:rsidR="008711EE" w:rsidRPr="00C56FBE">
        <w:rPr>
          <w:rFonts w:ascii="Times New Roman" w:hAnsi="Times New Roman" w:cs="Times New Roman"/>
          <w:sz w:val="24"/>
          <w:szCs w:val="24"/>
        </w:rPr>
        <w:t xml:space="preserve"> a la motivación de decisiones judiciales</w:t>
      </w:r>
      <w:r w:rsidRPr="00C56FBE">
        <w:rPr>
          <w:rFonts w:ascii="Times New Roman" w:hAnsi="Times New Roman" w:cs="Times New Roman"/>
          <w:sz w:val="24"/>
          <w:szCs w:val="24"/>
        </w:rPr>
        <w:t>, sino también el contenido constitucional del derecho fundamental</w:t>
      </w:r>
      <w:r w:rsidR="008711EE" w:rsidRPr="00C56FBE">
        <w:rPr>
          <w:rFonts w:ascii="Times New Roman" w:hAnsi="Times New Roman" w:cs="Times New Roman"/>
          <w:sz w:val="24"/>
          <w:szCs w:val="24"/>
        </w:rPr>
        <w:t xml:space="preserve"> al secreto profesional, </w:t>
      </w:r>
      <w:r w:rsidR="00F67FBF">
        <w:rPr>
          <w:rFonts w:ascii="Times New Roman" w:hAnsi="Times New Roman" w:cs="Times New Roman"/>
          <w:sz w:val="24"/>
          <w:szCs w:val="24"/>
        </w:rPr>
        <w:t xml:space="preserve">puesto en juego por </w:t>
      </w:r>
      <w:r w:rsidR="008711EE" w:rsidRPr="00C56FBE">
        <w:rPr>
          <w:rFonts w:ascii="Times New Roman" w:hAnsi="Times New Roman" w:cs="Times New Roman"/>
          <w:sz w:val="24"/>
          <w:szCs w:val="24"/>
        </w:rPr>
        <w:t>el Juez.</w:t>
      </w:r>
    </w:p>
    <w:p w:rsidR="008711EE" w:rsidRPr="00C56FBE" w:rsidRDefault="008711EE" w:rsidP="005C1D66">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Pero el valor objetivo de los derechos fundamentales también justifica dos requerimientos: primero, que cuando se adopten medidas que afecten derechos fundamentales, ellas deban ser lo más precisas posibles; y, segundo, que cuando se deban aplicar tales medidas, quien las ejecuta debe tener la seguridad de que se han cumplido las exigencias para aplicar</w:t>
      </w:r>
      <w:r w:rsidR="00F67FBF">
        <w:rPr>
          <w:rFonts w:ascii="Times New Roman" w:hAnsi="Times New Roman" w:cs="Times New Roman"/>
          <w:sz w:val="24"/>
          <w:szCs w:val="24"/>
        </w:rPr>
        <w:t>las</w:t>
      </w:r>
      <w:r w:rsidRPr="00C56FBE">
        <w:rPr>
          <w:rFonts w:ascii="Times New Roman" w:hAnsi="Times New Roman" w:cs="Times New Roman"/>
          <w:sz w:val="24"/>
          <w:szCs w:val="24"/>
        </w:rPr>
        <w:t>. Pues bien, en el presente caso no se cumplen con estos dos requerimientos.</w:t>
      </w:r>
    </w:p>
    <w:p w:rsidR="008711EE" w:rsidRPr="00C56FBE" w:rsidRDefault="008711EE" w:rsidP="005C1D66">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El primer</w:t>
      </w:r>
      <w:r w:rsidR="00F67FBF">
        <w:rPr>
          <w:rFonts w:ascii="Times New Roman" w:hAnsi="Times New Roman" w:cs="Times New Roman"/>
          <w:sz w:val="24"/>
          <w:szCs w:val="24"/>
        </w:rPr>
        <w:t xml:space="preserve"> requerimient</w:t>
      </w:r>
      <w:r w:rsidRPr="00C56FBE">
        <w:rPr>
          <w:rFonts w:ascii="Times New Roman" w:hAnsi="Times New Roman" w:cs="Times New Roman"/>
          <w:sz w:val="24"/>
          <w:szCs w:val="24"/>
        </w:rPr>
        <w:t xml:space="preserve">o es incumplido con el Juez, quien en las </w:t>
      </w:r>
      <w:r w:rsidR="00F67FBF">
        <w:rPr>
          <w:rFonts w:ascii="Times New Roman" w:hAnsi="Times New Roman" w:cs="Times New Roman"/>
          <w:sz w:val="24"/>
          <w:szCs w:val="24"/>
        </w:rPr>
        <w:t>dos resoluciones</w:t>
      </w:r>
      <w:r w:rsidRPr="00C56FBE">
        <w:rPr>
          <w:rFonts w:ascii="Times New Roman" w:hAnsi="Times New Roman" w:cs="Times New Roman"/>
          <w:sz w:val="24"/>
          <w:szCs w:val="24"/>
        </w:rPr>
        <w:t xml:space="preserve"> autoriza el allanamiento para la incautación de “g) Todo aquello pertinente al </w:t>
      </w:r>
      <w:r w:rsidR="00BB774A">
        <w:rPr>
          <w:rFonts w:ascii="Times New Roman" w:hAnsi="Times New Roman" w:cs="Times New Roman"/>
          <w:sz w:val="24"/>
          <w:szCs w:val="24"/>
        </w:rPr>
        <w:t>objeto de investigación”</w:t>
      </w:r>
      <w:r w:rsidR="00BB774A">
        <w:rPr>
          <w:rStyle w:val="Refdenotaalpie"/>
          <w:rFonts w:ascii="Times New Roman" w:hAnsi="Times New Roman" w:cs="Times New Roman"/>
          <w:sz w:val="24"/>
          <w:szCs w:val="24"/>
        </w:rPr>
        <w:footnoteReference w:id="26"/>
      </w:r>
      <w:r w:rsidRPr="00C56FBE">
        <w:rPr>
          <w:rFonts w:ascii="Times New Roman" w:hAnsi="Times New Roman" w:cs="Times New Roman"/>
          <w:sz w:val="24"/>
          <w:szCs w:val="24"/>
        </w:rPr>
        <w:t>. Esta es una autorización de afectación de derechos fundamentales ext</w:t>
      </w:r>
      <w:r w:rsidR="007D437F" w:rsidRPr="00C56FBE">
        <w:rPr>
          <w:rFonts w:ascii="Times New Roman" w:hAnsi="Times New Roman" w:cs="Times New Roman"/>
          <w:sz w:val="24"/>
          <w:szCs w:val="24"/>
        </w:rPr>
        <w:t xml:space="preserve">remadamente abierta y peligrosa, que allana el camino para que la inconstitucionalidad </w:t>
      </w:r>
      <w:r w:rsidR="007D437F" w:rsidRPr="00C56FBE">
        <w:rPr>
          <w:rFonts w:ascii="Times New Roman" w:hAnsi="Times New Roman" w:cs="Times New Roman"/>
          <w:sz w:val="24"/>
          <w:szCs w:val="24"/>
        </w:rPr>
        <w:lastRenderedPageBreak/>
        <w:t>se traslade también al encargado de ejecutar la medida</w:t>
      </w:r>
      <w:r w:rsidR="00F67FBF">
        <w:rPr>
          <w:rFonts w:ascii="Times New Roman" w:hAnsi="Times New Roman" w:cs="Times New Roman"/>
          <w:sz w:val="24"/>
          <w:szCs w:val="24"/>
        </w:rPr>
        <w:t xml:space="preserve"> de allanamiento</w:t>
      </w:r>
      <w:r w:rsidR="007D437F" w:rsidRPr="00C56FBE">
        <w:rPr>
          <w:rFonts w:ascii="Times New Roman" w:hAnsi="Times New Roman" w:cs="Times New Roman"/>
          <w:sz w:val="24"/>
          <w:szCs w:val="24"/>
        </w:rPr>
        <w:t xml:space="preserve">, como </w:t>
      </w:r>
      <w:r w:rsidR="00F67FBF">
        <w:rPr>
          <w:rFonts w:ascii="Times New Roman" w:hAnsi="Times New Roman" w:cs="Times New Roman"/>
          <w:sz w:val="24"/>
          <w:szCs w:val="24"/>
        </w:rPr>
        <w:t xml:space="preserve">desgraciadamente </w:t>
      </w:r>
      <w:r w:rsidR="007D437F" w:rsidRPr="00C56FBE">
        <w:rPr>
          <w:rFonts w:ascii="Times New Roman" w:hAnsi="Times New Roman" w:cs="Times New Roman"/>
          <w:sz w:val="24"/>
          <w:szCs w:val="24"/>
        </w:rPr>
        <w:t>ha ocurrido en este caso.</w:t>
      </w:r>
    </w:p>
    <w:p w:rsidR="00C56FBE" w:rsidRPr="00C56FBE" w:rsidRDefault="007D437F" w:rsidP="00C56FBE">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En efecto, el segundo requerimiento es incumplido por el Fiscal en ejecución de la inconstitucional medida de allanamiento. Así, el Fiscal ha incautado documentación del Estudio Oré Guardia, sin que de esa documentación pueda ser reconocida, ni pertinencia ni utilidad para el objeto de la investigación</w:t>
      </w:r>
      <w:r w:rsidR="00F67FBF">
        <w:rPr>
          <w:rFonts w:ascii="Times New Roman" w:hAnsi="Times New Roman" w:cs="Times New Roman"/>
          <w:sz w:val="24"/>
          <w:szCs w:val="24"/>
        </w:rPr>
        <w:t xml:space="preserve"> que, en todo caso, estaría concernido: la obstrucción a la justicia por parte de Edward García, abogado del Estudio Oré Guardia</w:t>
      </w:r>
      <w:r w:rsidRPr="00C56FBE">
        <w:rPr>
          <w:rFonts w:ascii="Times New Roman" w:hAnsi="Times New Roman" w:cs="Times New Roman"/>
          <w:sz w:val="24"/>
          <w:szCs w:val="24"/>
        </w:rPr>
        <w:t xml:space="preserve">. Para que una documentación sea objeto de una incautación constitucionalmente válida, tiene que ser razonable, y será este el caso cuando la documentación incautada resulte pertinente y útil para los hechos de relevancia penal que se están investigando. </w:t>
      </w:r>
    </w:p>
    <w:p w:rsidR="00C56FBE" w:rsidRPr="00C56FBE" w:rsidRDefault="00C56FBE" w:rsidP="00C56FBE">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Una de las modalidades del pri</w:t>
      </w:r>
      <w:r w:rsidR="006D1D14">
        <w:rPr>
          <w:rFonts w:ascii="Times New Roman" w:hAnsi="Times New Roman" w:cs="Times New Roman"/>
          <w:sz w:val="24"/>
          <w:szCs w:val="24"/>
        </w:rPr>
        <w:t>ncipio de favorecimiento de la P</w:t>
      </w:r>
      <w:r w:rsidRPr="00C56FBE">
        <w:rPr>
          <w:rFonts w:ascii="Times New Roman" w:hAnsi="Times New Roman" w:cs="Times New Roman"/>
          <w:sz w:val="24"/>
          <w:szCs w:val="24"/>
        </w:rPr>
        <w:t>ersona</w:t>
      </w:r>
      <w:r w:rsidR="006D1D14">
        <w:rPr>
          <w:rFonts w:ascii="Times New Roman" w:hAnsi="Times New Roman" w:cs="Times New Roman"/>
          <w:sz w:val="24"/>
          <w:szCs w:val="24"/>
        </w:rPr>
        <w:t xml:space="preserve"> que reclama precisamente su dimensión objetiva</w:t>
      </w:r>
      <w:r w:rsidRPr="00C56FBE">
        <w:rPr>
          <w:rFonts w:ascii="Times New Roman" w:hAnsi="Times New Roman" w:cs="Times New Roman"/>
          <w:sz w:val="24"/>
          <w:szCs w:val="24"/>
        </w:rPr>
        <w:t xml:space="preserve">, es el principio </w:t>
      </w:r>
      <w:r w:rsidRPr="00C56FBE">
        <w:rPr>
          <w:rFonts w:ascii="Times New Roman" w:hAnsi="Times New Roman" w:cs="Times New Roman"/>
          <w:i/>
          <w:sz w:val="24"/>
          <w:szCs w:val="24"/>
        </w:rPr>
        <w:t>in dubio pro personae</w:t>
      </w:r>
      <w:r w:rsidRPr="00C56FBE">
        <w:rPr>
          <w:rFonts w:ascii="Times New Roman" w:hAnsi="Times New Roman" w:cs="Times New Roman"/>
          <w:sz w:val="24"/>
          <w:szCs w:val="24"/>
        </w:rPr>
        <w:t>, según el cual, en caso de duda, debe elegirse la interpretación o la actuación (positiva o negativa) que más y mejor favorezc</w:t>
      </w:r>
      <w:r w:rsidR="006D1D14">
        <w:rPr>
          <w:rFonts w:ascii="Times New Roman" w:hAnsi="Times New Roman" w:cs="Times New Roman"/>
          <w:sz w:val="24"/>
          <w:szCs w:val="24"/>
        </w:rPr>
        <w:t>a a la plena realización de la P</w:t>
      </w:r>
      <w:r w:rsidRPr="00C56FBE">
        <w:rPr>
          <w:rFonts w:ascii="Times New Roman" w:hAnsi="Times New Roman" w:cs="Times New Roman"/>
          <w:sz w:val="24"/>
          <w:szCs w:val="24"/>
        </w:rPr>
        <w:t xml:space="preserve">ersona, a través de la plena vigencia de sus derechos fundamentales. Para el caso concreto, esto implicó </w:t>
      </w:r>
      <w:r w:rsidR="006D1D14">
        <w:rPr>
          <w:rFonts w:ascii="Times New Roman" w:hAnsi="Times New Roman" w:cs="Times New Roman"/>
          <w:sz w:val="24"/>
          <w:szCs w:val="24"/>
        </w:rPr>
        <w:t xml:space="preserve">que para el Fiscal nació el deber iusfundamental de incautar </w:t>
      </w:r>
      <w:r w:rsidRPr="00C56FBE">
        <w:rPr>
          <w:rFonts w:ascii="Times New Roman" w:hAnsi="Times New Roman" w:cs="Times New Roman"/>
          <w:sz w:val="24"/>
          <w:szCs w:val="24"/>
        </w:rPr>
        <w:t>solame</w:t>
      </w:r>
      <w:r w:rsidR="006D1D14">
        <w:rPr>
          <w:rFonts w:ascii="Times New Roman" w:hAnsi="Times New Roman" w:cs="Times New Roman"/>
          <w:sz w:val="24"/>
          <w:szCs w:val="24"/>
        </w:rPr>
        <w:t>nte aquella documentación de la</w:t>
      </w:r>
      <w:r w:rsidRPr="00C56FBE">
        <w:rPr>
          <w:rFonts w:ascii="Times New Roman" w:hAnsi="Times New Roman" w:cs="Times New Roman"/>
          <w:sz w:val="24"/>
          <w:szCs w:val="24"/>
        </w:rPr>
        <w:t xml:space="preserve"> que estaba seguro concerní</w:t>
      </w:r>
      <w:r w:rsidR="006D1D14">
        <w:rPr>
          <w:rFonts w:ascii="Times New Roman" w:hAnsi="Times New Roman" w:cs="Times New Roman"/>
          <w:sz w:val="24"/>
          <w:szCs w:val="24"/>
        </w:rPr>
        <w:t>a al objeto de la investigación;</w:t>
      </w:r>
      <w:r w:rsidRPr="00C56FBE">
        <w:rPr>
          <w:rFonts w:ascii="Times New Roman" w:hAnsi="Times New Roman" w:cs="Times New Roman"/>
          <w:sz w:val="24"/>
          <w:szCs w:val="24"/>
        </w:rPr>
        <w:t xml:space="preserve"> la presencia de duda tendría que haberse resuelto a favor de la no incautación</w:t>
      </w:r>
      <w:r w:rsidR="006D1D14">
        <w:rPr>
          <w:rFonts w:ascii="Times New Roman" w:hAnsi="Times New Roman" w:cs="Times New Roman"/>
          <w:sz w:val="24"/>
          <w:szCs w:val="24"/>
        </w:rPr>
        <w:t>, porque era lo que más y mejor se condecía con el valor objetivo de los derechos fundamentales en juego.</w:t>
      </w:r>
    </w:p>
    <w:p w:rsidR="00C56FBE" w:rsidRPr="00C56FBE" w:rsidRDefault="00C56FBE" w:rsidP="00C56FBE">
      <w:pPr>
        <w:jc w:val="both"/>
        <w:rPr>
          <w:rFonts w:ascii="Times New Roman" w:hAnsi="Times New Roman" w:cs="Times New Roman"/>
          <w:sz w:val="24"/>
          <w:szCs w:val="24"/>
        </w:rPr>
      </w:pPr>
      <w:r w:rsidRPr="00C56FBE">
        <w:rPr>
          <w:rFonts w:ascii="Times New Roman" w:hAnsi="Times New Roman" w:cs="Times New Roman"/>
          <w:sz w:val="24"/>
          <w:szCs w:val="24"/>
        </w:rPr>
        <w:t>Este deber se ha incumplido manifiestamente</w:t>
      </w:r>
      <w:r w:rsidR="006D1D14">
        <w:rPr>
          <w:rFonts w:ascii="Times New Roman" w:hAnsi="Times New Roman" w:cs="Times New Roman"/>
          <w:sz w:val="24"/>
          <w:szCs w:val="24"/>
        </w:rPr>
        <w:t xml:space="preserve"> por parte del Fiscal, a la hora que</w:t>
      </w:r>
      <w:r w:rsidRPr="00C56FBE">
        <w:rPr>
          <w:rFonts w:ascii="Times New Roman" w:hAnsi="Times New Roman" w:cs="Times New Roman"/>
          <w:sz w:val="24"/>
          <w:szCs w:val="24"/>
        </w:rPr>
        <w:t xml:space="preserve"> decide incautar una serie de información documentaria, incluso, respecto de la cual no hay duda de que no tiene relación con el objeto de investigación. En efecto, gran parte de la documentación que se incauta es por el s</w:t>
      </w:r>
      <w:r w:rsidR="006D1D14">
        <w:rPr>
          <w:rFonts w:ascii="Times New Roman" w:hAnsi="Times New Roman" w:cs="Times New Roman"/>
          <w:sz w:val="24"/>
          <w:szCs w:val="24"/>
        </w:rPr>
        <w:t>olo hecho de estar relacionada a determinadas personas –mencionadas por el TP 10 o el CE 8</w:t>
      </w:r>
      <w:r w:rsidR="004F65EB">
        <w:rPr>
          <w:rFonts w:ascii="Times New Roman" w:hAnsi="Times New Roman" w:cs="Times New Roman"/>
          <w:sz w:val="24"/>
          <w:szCs w:val="24"/>
        </w:rPr>
        <w:t>–</w:t>
      </w:r>
      <w:r w:rsidR="006D1D14">
        <w:rPr>
          <w:rFonts w:ascii="Times New Roman" w:hAnsi="Times New Roman" w:cs="Times New Roman"/>
          <w:sz w:val="24"/>
          <w:szCs w:val="24"/>
        </w:rPr>
        <w:t>; p</w:t>
      </w:r>
      <w:r w:rsidRPr="00C56FBE">
        <w:rPr>
          <w:rFonts w:ascii="Times New Roman" w:hAnsi="Times New Roman" w:cs="Times New Roman"/>
          <w:sz w:val="24"/>
          <w:szCs w:val="24"/>
        </w:rPr>
        <w:t xml:space="preserve">ero no es razonable sostener que una documentación es relevante por el solo hecho de estar referida a una determinada persona; sino que lo razonable es que </w:t>
      </w:r>
      <w:r w:rsidR="006D1D14">
        <w:rPr>
          <w:rFonts w:ascii="Times New Roman" w:hAnsi="Times New Roman" w:cs="Times New Roman"/>
          <w:sz w:val="24"/>
          <w:szCs w:val="24"/>
        </w:rPr>
        <w:t>también –y acaso relevantemente</w:t>
      </w:r>
      <w:r w:rsidR="004F65EB">
        <w:rPr>
          <w:rFonts w:ascii="Times New Roman" w:hAnsi="Times New Roman" w:cs="Times New Roman"/>
          <w:sz w:val="24"/>
          <w:szCs w:val="24"/>
        </w:rPr>
        <w:t>–</w:t>
      </w:r>
      <w:r w:rsidR="006D1D14">
        <w:rPr>
          <w:rFonts w:ascii="Times New Roman" w:hAnsi="Times New Roman" w:cs="Times New Roman"/>
          <w:sz w:val="24"/>
          <w:szCs w:val="24"/>
        </w:rPr>
        <w:t xml:space="preserve">, </w:t>
      </w:r>
      <w:r w:rsidRPr="00C56FBE">
        <w:rPr>
          <w:rFonts w:ascii="Times New Roman" w:hAnsi="Times New Roman" w:cs="Times New Roman"/>
          <w:sz w:val="24"/>
          <w:szCs w:val="24"/>
        </w:rPr>
        <w:t>se tome en cuenta el objeto de la inve</w:t>
      </w:r>
      <w:r w:rsidR="006D1D14">
        <w:rPr>
          <w:rFonts w:ascii="Times New Roman" w:hAnsi="Times New Roman" w:cs="Times New Roman"/>
          <w:sz w:val="24"/>
          <w:szCs w:val="24"/>
        </w:rPr>
        <w:t>stigación</w:t>
      </w:r>
      <w:r w:rsidRPr="00C56FBE">
        <w:rPr>
          <w:rFonts w:ascii="Times New Roman" w:hAnsi="Times New Roman" w:cs="Times New Roman"/>
          <w:sz w:val="24"/>
          <w:szCs w:val="24"/>
        </w:rPr>
        <w:t>.</w:t>
      </w:r>
    </w:p>
    <w:p w:rsidR="007D437F" w:rsidRPr="00C56FBE" w:rsidRDefault="00C56FBE" w:rsidP="00937279">
      <w:pPr>
        <w:spacing w:before="120" w:after="120" w:line="320" w:lineRule="exact"/>
        <w:jc w:val="both"/>
        <w:rPr>
          <w:rFonts w:ascii="Times New Roman" w:hAnsi="Times New Roman" w:cs="Times New Roman"/>
          <w:sz w:val="24"/>
          <w:szCs w:val="24"/>
        </w:rPr>
      </w:pPr>
      <w:r w:rsidRPr="00C56FBE">
        <w:rPr>
          <w:rFonts w:ascii="Times New Roman" w:hAnsi="Times New Roman" w:cs="Times New Roman"/>
          <w:sz w:val="24"/>
          <w:szCs w:val="24"/>
        </w:rPr>
        <w:t xml:space="preserve">De modo que no solo el Juez </w:t>
      </w:r>
      <w:r w:rsidR="006D1D14">
        <w:rPr>
          <w:rFonts w:ascii="Times New Roman" w:hAnsi="Times New Roman" w:cs="Times New Roman"/>
          <w:sz w:val="24"/>
          <w:szCs w:val="24"/>
        </w:rPr>
        <w:t xml:space="preserve">desenvuelve su poder jurisdiccional en contra del </w:t>
      </w:r>
      <w:r w:rsidRPr="00C56FBE">
        <w:rPr>
          <w:rFonts w:ascii="Times New Roman" w:hAnsi="Times New Roman" w:cs="Times New Roman"/>
          <w:sz w:val="24"/>
          <w:szCs w:val="24"/>
        </w:rPr>
        <w:t>valor objetivo de</w:t>
      </w:r>
      <w:r w:rsidR="006D1D14">
        <w:rPr>
          <w:rFonts w:ascii="Times New Roman" w:hAnsi="Times New Roman" w:cs="Times New Roman"/>
          <w:sz w:val="24"/>
          <w:szCs w:val="24"/>
        </w:rPr>
        <w:t xml:space="preserve"> </w:t>
      </w:r>
      <w:r w:rsidRPr="00C56FBE">
        <w:rPr>
          <w:rFonts w:ascii="Times New Roman" w:hAnsi="Times New Roman" w:cs="Times New Roman"/>
          <w:sz w:val="24"/>
          <w:szCs w:val="24"/>
        </w:rPr>
        <w:t>l</w:t>
      </w:r>
      <w:r w:rsidR="006D1D14">
        <w:rPr>
          <w:rFonts w:ascii="Times New Roman" w:hAnsi="Times New Roman" w:cs="Times New Roman"/>
          <w:sz w:val="24"/>
          <w:szCs w:val="24"/>
        </w:rPr>
        <w:t>os</w:t>
      </w:r>
      <w:r w:rsidRPr="00C56FBE">
        <w:rPr>
          <w:rFonts w:ascii="Times New Roman" w:hAnsi="Times New Roman" w:cs="Times New Roman"/>
          <w:sz w:val="24"/>
          <w:szCs w:val="24"/>
        </w:rPr>
        <w:t xml:space="preserve"> derecho</w:t>
      </w:r>
      <w:r w:rsidR="006D1D14">
        <w:rPr>
          <w:rFonts w:ascii="Times New Roman" w:hAnsi="Times New Roman" w:cs="Times New Roman"/>
          <w:sz w:val="24"/>
          <w:szCs w:val="24"/>
        </w:rPr>
        <w:t>s</w:t>
      </w:r>
      <w:r w:rsidRPr="00C56FBE">
        <w:rPr>
          <w:rFonts w:ascii="Times New Roman" w:hAnsi="Times New Roman" w:cs="Times New Roman"/>
          <w:sz w:val="24"/>
          <w:szCs w:val="24"/>
        </w:rPr>
        <w:t xml:space="preserve"> fundamental</w:t>
      </w:r>
      <w:r w:rsidR="006D1D14">
        <w:rPr>
          <w:rFonts w:ascii="Times New Roman" w:hAnsi="Times New Roman" w:cs="Times New Roman"/>
          <w:sz w:val="24"/>
          <w:szCs w:val="24"/>
        </w:rPr>
        <w:t>es, como</w:t>
      </w:r>
      <w:r w:rsidRPr="00C56FBE">
        <w:rPr>
          <w:rFonts w:ascii="Times New Roman" w:hAnsi="Times New Roman" w:cs="Times New Roman"/>
          <w:sz w:val="24"/>
          <w:szCs w:val="24"/>
        </w:rPr>
        <w:t xml:space="preserve"> al secreto profesional que titulariza el Estudio Oré Guardia, sino </w:t>
      </w:r>
      <w:r w:rsidR="006D1D14">
        <w:rPr>
          <w:rFonts w:ascii="Times New Roman" w:hAnsi="Times New Roman" w:cs="Times New Roman"/>
          <w:sz w:val="24"/>
          <w:szCs w:val="24"/>
        </w:rPr>
        <w:t xml:space="preserve">que </w:t>
      </w:r>
      <w:r w:rsidRPr="00C56FBE">
        <w:rPr>
          <w:rFonts w:ascii="Times New Roman" w:hAnsi="Times New Roman" w:cs="Times New Roman"/>
          <w:sz w:val="24"/>
          <w:szCs w:val="24"/>
        </w:rPr>
        <w:t>también el Fiscal</w:t>
      </w:r>
      <w:r w:rsidR="006D1D14">
        <w:rPr>
          <w:rFonts w:ascii="Times New Roman" w:hAnsi="Times New Roman" w:cs="Times New Roman"/>
          <w:sz w:val="24"/>
          <w:szCs w:val="24"/>
        </w:rPr>
        <w:t xml:space="preserve"> incurre en este reprobable incumplimiento del deber de proteger los derechos fundamentales</w:t>
      </w:r>
      <w:r w:rsidR="00937279">
        <w:rPr>
          <w:rFonts w:ascii="Times New Roman" w:hAnsi="Times New Roman" w:cs="Times New Roman"/>
          <w:sz w:val="24"/>
          <w:szCs w:val="24"/>
        </w:rPr>
        <w:t>.</w:t>
      </w:r>
    </w:p>
    <w:p w:rsidR="00A83DD2" w:rsidRDefault="00A83DD2" w:rsidP="005C1D66">
      <w:pPr>
        <w:spacing w:before="120" w:after="120" w:line="320" w:lineRule="exact"/>
        <w:jc w:val="both"/>
        <w:rPr>
          <w:rFonts w:ascii="Times New Roman" w:hAnsi="Times New Roman" w:cs="Times New Roman"/>
          <w:b/>
          <w:smallCaps/>
          <w:sz w:val="24"/>
          <w:szCs w:val="24"/>
        </w:rPr>
      </w:pPr>
    </w:p>
    <w:p w:rsidR="008711EE" w:rsidRPr="006D1D14" w:rsidRDefault="006D1D14" w:rsidP="005C1D66">
      <w:pPr>
        <w:spacing w:before="120" w:after="120" w:line="320" w:lineRule="exact"/>
        <w:jc w:val="both"/>
        <w:rPr>
          <w:rFonts w:ascii="Times New Roman" w:hAnsi="Times New Roman" w:cs="Times New Roman"/>
          <w:b/>
          <w:smallCaps/>
          <w:sz w:val="24"/>
          <w:szCs w:val="24"/>
        </w:rPr>
      </w:pPr>
      <w:r w:rsidRPr="006D1D14">
        <w:rPr>
          <w:rFonts w:ascii="Times New Roman" w:hAnsi="Times New Roman" w:cs="Times New Roman"/>
          <w:b/>
          <w:smallCaps/>
          <w:sz w:val="24"/>
          <w:szCs w:val="24"/>
        </w:rPr>
        <w:t>VI. Conclusiones</w:t>
      </w:r>
    </w:p>
    <w:p w:rsidR="008770DA" w:rsidRDefault="006C13F0" w:rsidP="006C13F0">
      <w:pPr>
        <w:spacing w:before="120" w:after="120" w:line="320" w:lineRule="exact"/>
        <w:jc w:val="both"/>
        <w:rPr>
          <w:rFonts w:ascii="Times New Roman" w:hAnsi="Times New Roman" w:cs="Times New Roman"/>
          <w:sz w:val="24"/>
          <w:szCs w:val="24"/>
        </w:rPr>
      </w:pPr>
      <w:r>
        <w:rPr>
          <w:rFonts w:ascii="Times New Roman" w:hAnsi="Times New Roman" w:cs="Times New Roman"/>
          <w:sz w:val="24"/>
          <w:szCs w:val="24"/>
        </w:rPr>
        <w:t xml:space="preserve">A lo largo de esta páginas se han dado una serie de razones, y además fuertes por su grado de corrección, para concluir que la medida que autoriza el allanamiento y la que concede su ampliación, son inconstitucionales por haber vulnerado al menos dos derechos fundamentales del Estudio Oré Guardia: el derecho a la debida motivación de decisiones judiciales; y el derecho al secreto profesional. Estos derechos son agredidos también en </w:t>
      </w:r>
      <w:r>
        <w:rPr>
          <w:rFonts w:ascii="Times New Roman" w:hAnsi="Times New Roman" w:cs="Times New Roman"/>
          <w:sz w:val="24"/>
          <w:szCs w:val="24"/>
        </w:rPr>
        <w:lastRenderedPageBreak/>
        <w:t>su dimensión objetiva, no solo por el juez sino también por el Fiscal que ejecuta el mandato de allanamiento.</w:t>
      </w:r>
    </w:p>
    <w:p w:rsidR="006D1D14" w:rsidRDefault="006D1D14" w:rsidP="006D1D14">
      <w:pPr>
        <w:spacing w:before="120" w:after="120" w:line="320" w:lineRule="exact"/>
        <w:rPr>
          <w:rFonts w:ascii="Times New Roman" w:hAnsi="Times New Roman" w:cs="Times New Roman"/>
          <w:sz w:val="24"/>
          <w:szCs w:val="24"/>
        </w:rPr>
      </w:pPr>
    </w:p>
    <w:p w:rsidR="002656E9" w:rsidRDefault="002656E9" w:rsidP="006D1D14">
      <w:pPr>
        <w:spacing w:before="120" w:after="120" w:line="320" w:lineRule="exact"/>
        <w:rPr>
          <w:rFonts w:ascii="Times New Roman" w:hAnsi="Times New Roman" w:cs="Times New Roman"/>
          <w:sz w:val="24"/>
          <w:szCs w:val="24"/>
        </w:rPr>
      </w:pPr>
    </w:p>
    <w:p w:rsidR="002656E9" w:rsidRDefault="002656E9" w:rsidP="006D1D14">
      <w:pPr>
        <w:spacing w:before="120" w:after="120" w:line="320" w:lineRule="exact"/>
        <w:rPr>
          <w:rFonts w:ascii="Times New Roman" w:hAnsi="Times New Roman" w:cs="Times New Roman"/>
          <w:sz w:val="24"/>
          <w:szCs w:val="24"/>
        </w:rPr>
      </w:pPr>
    </w:p>
    <w:p w:rsidR="00BE535E" w:rsidRDefault="009D18AC" w:rsidP="006D1D14">
      <w:pPr>
        <w:spacing w:before="120" w:after="120" w:line="320" w:lineRule="exact"/>
        <w:rPr>
          <w:rFonts w:ascii="Times New Roman" w:hAnsi="Times New Roman" w:cs="Times New Roman"/>
          <w:sz w:val="24"/>
          <w:szCs w:val="24"/>
        </w:rPr>
      </w:pPr>
      <w:r>
        <w:rPr>
          <w:rFonts w:ascii="Times New Roman" w:hAnsi="Times New Roman" w:cs="Times New Roman"/>
          <w:noProof/>
          <w:sz w:val="24"/>
          <w:szCs w:val="24"/>
          <w:lang w:eastAsia="es-PE"/>
        </w:rPr>
        <w:drawing>
          <wp:anchor distT="0" distB="0" distL="114300" distR="114300" simplePos="0" relativeHeight="251658240" behindDoc="1" locked="0" layoutInCell="1" allowOverlap="1" wp14:anchorId="7F1821A3" wp14:editId="5BCF7701">
            <wp:simplePos x="0" y="0"/>
            <wp:positionH relativeFrom="column">
              <wp:posOffset>1434465</wp:posOffset>
            </wp:positionH>
            <wp:positionV relativeFrom="paragraph">
              <wp:posOffset>62865</wp:posOffset>
            </wp:positionV>
            <wp:extent cx="2614295" cy="12192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biLevel thresh="50000"/>
                      <a:extLst>
                        <a:ext uri="{BEBA8EAE-BF5A-486C-A8C5-ECC9F3942E4B}">
                          <a14:imgProps xmlns:a14="http://schemas.microsoft.com/office/drawing/2010/main">
                            <a14:imgLayer r:embed="rId9">
                              <a14:imgEffect>
                                <a14:colorTemperature colorTemp="5300"/>
                              </a14:imgEffect>
                              <a14:imgEffect>
                                <a14:saturation sat="66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61429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E535E" w:rsidRPr="009D18AC" w:rsidRDefault="00BE535E" w:rsidP="006D1D14">
      <w:pPr>
        <w:spacing w:before="120" w:after="120" w:line="320" w:lineRule="exact"/>
        <w:rPr>
          <w:rFonts w:ascii="Times New Roman" w:hAnsi="Times New Roman" w:cs="Times New Roman"/>
          <w:color w:val="000000" w:themeColor="text1"/>
          <w:sz w:val="24"/>
          <w:szCs w:val="24"/>
        </w:rPr>
      </w:pPr>
    </w:p>
    <w:p w:rsidR="00BE535E" w:rsidRPr="009D18AC" w:rsidRDefault="00BE535E" w:rsidP="006D1D14">
      <w:pPr>
        <w:spacing w:before="120" w:after="120" w:line="320" w:lineRule="exact"/>
        <w:rPr>
          <w:rFonts w:ascii="Times New Roman" w:hAnsi="Times New Roman" w:cs="Times New Roman"/>
          <w:color w:val="000000" w:themeColor="text1"/>
          <w:sz w:val="24"/>
          <w:szCs w:val="24"/>
        </w:rPr>
      </w:pPr>
    </w:p>
    <w:p w:rsidR="00BE535E" w:rsidRPr="009D18AC" w:rsidRDefault="00BE535E" w:rsidP="006D1D14">
      <w:pPr>
        <w:spacing w:before="120" w:after="120" w:line="320" w:lineRule="exact"/>
        <w:rPr>
          <w:rFonts w:ascii="Times New Roman" w:hAnsi="Times New Roman" w:cs="Times New Roman"/>
          <w:color w:val="000000" w:themeColor="text1"/>
          <w:sz w:val="24"/>
          <w:szCs w:val="24"/>
        </w:rPr>
      </w:pPr>
    </w:p>
    <w:p w:rsidR="00BE535E" w:rsidRPr="009A3600" w:rsidRDefault="00BE535E" w:rsidP="00BE535E">
      <w:pPr>
        <w:spacing w:before="120" w:after="120" w:line="320" w:lineRule="exact"/>
        <w:jc w:val="center"/>
        <w:rPr>
          <w:rFonts w:ascii="Times New Roman" w:hAnsi="Times New Roman" w:cs="Times New Roman"/>
          <w:color w:val="000000" w:themeColor="text1"/>
          <w:sz w:val="32"/>
          <w:szCs w:val="24"/>
        </w:rPr>
      </w:pPr>
      <w:r w:rsidRPr="009D18AC">
        <w:rPr>
          <w:rFonts w:ascii="Times New Roman" w:hAnsi="Times New Roman" w:cs="Times New Roman"/>
          <w:color w:val="000000" w:themeColor="text1"/>
          <w:sz w:val="36"/>
          <w:szCs w:val="24"/>
        </w:rPr>
        <w:t xml:space="preserve"> </w:t>
      </w:r>
      <w:r w:rsidRPr="009A3600">
        <w:rPr>
          <w:rFonts w:ascii="Times New Roman" w:hAnsi="Times New Roman" w:cs="Times New Roman"/>
          <w:color w:val="000000" w:themeColor="text1"/>
          <w:sz w:val="32"/>
          <w:szCs w:val="24"/>
        </w:rPr>
        <w:t>Luis Castillo Córdova</w:t>
      </w:r>
    </w:p>
    <w:p w:rsidR="00BE535E" w:rsidRPr="009A3600" w:rsidRDefault="00BE535E" w:rsidP="00BE535E">
      <w:pPr>
        <w:spacing w:before="120" w:after="120" w:line="320" w:lineRule="exact"/>
        <w:jc w:val="center"/>
        <w:rPr>
          <w:rFonts w:ascii="Times New Roman" w:hAnsi="Times New Roman" w:cs="Times New Roman"/>
          <w:color w:val="000000" w:themeColor="text1"/>
          <w:sz w:val="32"/>
          <w:szCs w:val="24"/>
        </w:rPr>
      </w:pPr>
      <w:r w:rsidRPr="009A3600">
        <w:rPr>
          <w:rFonts w:ascii="Times New Roman" w:hAnsi="Times New Roman" w:cs="Times New Roman"/>
          <w:color w:val="000000" w:themeColor="text1"/>
          <w:sz w:val="32"/>
          <w:szCs w:val="24"/>
        </w:rPr>
        <w:t>ICAP N.º 605</w:t>
      </w:r>
    </w:p>
    <w:p w:rsidR="00BE535E" w:rsidRPr="00C56FBE" w:rsidRDefault="00BE535E" w:rsidP="00BE535E">
      <w:pPr>
        <w:spacing w:before="120" w:after="120" w:line="320" w:lineRule="exact"/>
        <w:jc w:val="center"/>
        <w:rPr>
          <w:rFonts w:ascii="Times New Roman" w:hAnsi="Times New Roman" w:cs="Times New Roman"/>
          <w:sz w:val="24"/>
          <w:szCs w:val="24"/>
        </w:rPr>
      </w:pPr>
    </w:p>
    <w:sectPr w:rsidR="00BE535E" w:rsidRPr="00C56FBE" w:rsidSect="0093727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035" w:rsidRDefault="00150035" w:rsidP="00CC38AE">
      <w:pPr>
        <w:spacing w:after="0" w:line="240" w:lineRule="auto"/>
      </w:pPr>
      <w:r>
        <w:separator/>
      </w:r>
    </w:p>
  </w:endnote>
  <w:endnote w:type="continuationSeparator" w:id="0">
    <w:p w:rsidR="00150035" w:rsidRDefault="00150035" w:rsidP="00CC3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608128"/>
      <w:docPartObj>
        <w:docPartGallery w:val="Page Numbers (Bottom of Page)"/>
        <w:docPartUnique/>
      </w:docPartObj>
    </w:sdtPr>
    <w:sdtEndPr/>
    <w:sdtContent>
      <w:p w:rsidR="004F65EB" w:rsidRDefault="004F65EB">
        <w:pPr>
          <w:pStyle w:val="Piedepgina"/>
          <w:jc w:val="right"/>
        </w:pPr>
        <w:r>
          <w:fldChar w:fldCharType="begin"/>
        </w:r>
        <w:r>
          <w:instrText>PAGE   \* MERGEFORMAT</w:instrText>
        </w:r>
        <w:r>
          <w:fldChar w:fldCharType="separate"/>
        </w:r>
        <w:r w:rsidR="009446AA" w:rsidRPr="009446AA">
          <w:rPr>
            <w:noProof/>
            <w:lang w:val="es-ES"/>
          </w:rPr>
          <w:t>7</w:t>
        </w:r>
        <w:r>
          <w:fldChar w:fldCharType="end"/>
        </w:r>
      </w:p>
    </w:sdtContent>
  </w:sdt>
  <w:p w:rsidR="003337EA" w:rsidRDefault="003337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035" w:rsidRDefault="00150035" w:rsidP="00CC38AE">
      <w:pPr>
        <w:spacing w:after="0" w:line="240" w:lineRule="auto"/>
      </w:pPr>
      <w:r>
        <w:separator/>
      </w:r>
    </w:p>
  </w:footnote>
  <w:footnote w:type="continuationSeparator" w:id="0">
    <w:p w:rsidR="00150035" w:rsidRDefault="00150035" w:rsidP="00CC38AE">
      <w:pPr>
        <w:spacing w:after="0" w:line="240" w:lineRule="auto"/>
      </w:pPr>
      <w:r>
        <w:continuationSeparator/>
      </w:r>
    </w:p>
  </w:footnote>
  <w:footnote w:id="1">
    <w:p w:rsidR="003337EA" w:rsidRPr="004F65EB" w:rsidRDefault="003337EA">
      <w:pPr>
        <w:pStyle w:val="Textonotapie"/>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w:t>
      </w:r>
      <w:r w:rsidRPr="004F65EB">
        <w:rPr>
          <w:rFonts w:ascii="Times New Roman" w:eastAsia="Tahoma" w:hAnsi="Times New Roman" w:cs="Times New Roman"/>
          <w:lang w:val="es-ES_tradnl"/>
        </w:rPr>
        <w:t>EXP. N.° 0728</w:t>
      </w:r>
      <w:r w:rsidR="00BB774A" w:rsidRPr="004F65EB">
        <w:rPr>
          <w:rFonts w:ascii="Times New Roman" w:eastAsia="Tahoma" w:hAnsi="Times New Roman" w:cs="Times New Roman"/>
          <w:lang w:val="es-ES_tradnl"/>
        </w:rPr>
        <w:t>–</w:t>
      </w:r>
      <w:r w:rsidRPr="004F65EB">
        <w:rPr>
          <w:rFonts w:ascii="Times New Roman" w:eastAsia="Tahoma" w:hAnsi="Times New Roman" w:cs="Times New Roman"/>
          <w:lang w:val="es-ES_tradnl"/>
        </w:rPr>
        <w:t>2008</w:t>
      </w:r>
      <w:r w:rsidR="00BB774A" w:rsidRPr="004F65EB">
        <w:rPr>
          <w:rFonts w:ascii="Times New Roman" w:eastAsia="Tahoma" w:hAnsi="Times New Roman" w:cs="Times New Roman"/>
          <w:lang w:val="es-ES_tradnl"/>
        </w:rPr>
        <w:t>–</w:t>
      </w:r>
      <w:r w:rsidRPr="004F65EB">
        <w:rPr>
          <w:rFonts w:ascii="Times New Roman" w:eastAsia="Tahoma" w:hAnsi="Times New Roman" w:cs="Times New Roman"/>
          <w:lang w:val="es-ES_tradnl"/>
        </w:rPr>
        <w:t>PHC/TC, fundamento 7.</w:t>
      </w:r>
    </w:p>
  </w:footnote>
  <w:footnote w:id="2">
    <w:p w:rsidR="0066702B" w:rsidRPr="004F65EB" w:rsidRDefault="0066702B">
      <w:pPr>
        <w:pStyle w:val="Textonotapie"/>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Resolución 2, fundamento 5.2.1 apartado f.</w:t>
      </w:r>
    </w:p>
  </w:footnote>
  <w:footnote w:id="3">
    <w:p w:rsidR="00BB774A" w:rsidRPr="004F65EB" w:rsidRDefault="00BB774A">
      <w:pPr>
        <w:pStyle w:val="Textonotapie"/>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Resolución 2, p. 16.</w:t>
      </w:r>
    </w:p>
  </w:footnote>
  <w:footnote w:id="4">
    <w:p w:rsidR="00BB774A" w:rsidRPr="004F65EB" w:rsidRDefault="00BB774A">
      <w:pPr>
        <w:pStyle w:val="Textonotapie"/>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Resolución 2, ps. 11 a 15.</w:t>
      </w:r>
    </w:p>
  </w:footnote>
  <w:footnote w:id="5">
    <w:p w:rsidR="00BB774A" w:rsidRPr="004F65EB" w:rsidRDefault="00BB774A">
      <w:pPr>
        <w:pStyle w:val="Textonotapie"/>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Resolución 2, p. 13.</w:t>
      </w:r>
    </w:p>
  </w:footnote>
  <w:footnote w:id="6">
    <w:p w:rsidR="003337EA" w:rsidRPr="004F65EB" w:rsidRDefault="003337EA">
      <w:pPr>
        <w:pStyle w:val="Textonotapie"/>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Resolución 2, p. 15.</w:t>
      </w:r>
    </w:p>
  </w:footnote>
  <w:footnote w:id="7">
    <w:p w:rsidR="003337EA" w:rsidRPr="004F65EB" w:rsidRDefault="003337EA">
      <w:pPr>
        <w:pStyle w:val="Textonotapie"/>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Resolución 2, p. 16.</w:t>
      </w:r>
    </w:p>
  </w:footnote>
  <w:footnote w:id="8">
    <w:p w:rsidR="003337EA" w:rsidRPr="004F65EB" w:rsidRDefault="003337EA">
      <w:pPr>
        <w:pStyle w:val="Textonotapie"/>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La agresión se intensifica si se toma en cuenta que resulta una declaración conveniente a Fernando Carreras quien es el TP 10.</w:t>
      </w:r>
    </w:p>
  </w:footnote>
  <w:footnote w:id="9">
    <w:p w:rsidR="003337EA" w:rsidRPr="004F65EB" w:rsidRDefault="003337EA">
      <w:pPr>
        <w:pStyle w:val="Textonotapie"/>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Resolución 2, p. 30.</w:t>
      </w:r>
    </w:p>
  </w:footnote>
  <w:footnote w:id="10">
    <w:p w:rsidR="003337EA" w:rsidRPr="004F65EB" w:rsidRDefault="003337EA">
      <w:pPr>
        <w:pStyle w:val="Textonotapie"/>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Resolución 2, p. 31.</w:t>
      </w:r>
    </w:p>
  </w:footnote>
  <w:footnote w:id="11">
    <w:p w:rsidR="003337EA" w:rsidRPr="004F65EB" w:rsidRDefault="003337EA">
      <w:pPr>
        <w:pStyle w:val="Textonotapie"/>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w:t>
      </w:r>
      <w:r w:rsidR="00BB774A" w:rsidRPr="004F65EB">
        <w:rPr>
          <w:rFonts w:ascii="Times New Roman" w:hAnsi="Times New Roman" w:cs="Times New Roman"/>
        </w:rPr>
        <w:t>Resolución 2, p.</w:t>
      </w:r>
      <w:r w:rsidRPr="004F65EB">
        <w:rPr>
          <w:rFonts w:ascii="Times New Roman" w:hAnsi="Times New Roman" w:cs="Times New Roman"/>
        </w:rPr>
        <w:t xml:space="preserve"> 9.</w:t>
      </w:r>
    </w:p>
  </w:footnote>
  <w:footnote w:id="12">
    <w:p w:rsidR="003337EA" w:rsidRPr="004F65EB" w:rsidRDefault="003337EA">
      <w:pPr>
        <w:pStyle w:val="Textonotapie"/>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Resolución 2, p. 3.</w:t>
      </w:r>
    </w:p>
  </w:footnote>
  <w:footnote w:id="13">
    <w:p w:rsidR="003337EA" w:rsidRPr="004F65EB" w:rsidRDefault="003337EA">
      <w:pPr>
        <w:pStyle w:val="Textonotapie"/>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Resolución 2, p. 32.</w:t>
      </w:r>
    </w:p>
  </w:footnote>
  <w:footnote w:id="14">
    <w:p w:rsidR="00BB774A" w:rsidRPr="004F65EB" w:rsidRDefault="00BB774A">
      <w:pPr>
        <w:pStyle w:val="Textonotapie"/>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Resolución 2, p. 28.</w:t>
      </w:r>
    </w:p>
  </w:footnote>
  <w:footnote w:id="15">
    <w:p w:rsidR="00BB774A" w:rsidRPr="004F65EB" w:rsidRDefault="00BB774A">
      <w:pPr>
        <w:pStyle w:val="Textonotapie"/>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Resolución 2, p. 28.</w:t>
      </w:r>
    </w:p>
  </w:footnote>
  <w:footnote w:id="16">
    <w:p w:rsidR="003A5C49" w:rsidRPr="004F65EB" w:rsidRDefault="003A5C49">
      <w:pPr>
        <w:pStyle w:val="Textonotapie"/>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Resolución 2, p. 31.</w:t>
      </w:r>
    </w:p>
  </w:footnote>
  <w:footnote w:id="17">
    <w:p w:rsidR="00BB774A" w:rsidRPr="004F65EB" w:rsidRDefault="00BB774A">
      <w:pPr>
        <w:pStyle w:val="Textonotapie"/>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Resolución 2, ps. 31 y 32.</w:t>
      </w:r>
    </w:p>
  </w:footnote>
  <w:footnote w:id="18">
    <w:p w:rsidR="00BB774A" w:rsidRPr="004F65EB" w:rsidRDefault="00BB774A">
      <w:pPr>
        <w:pStyle w:val="Textonotapie"/>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Resolución 2, p. 32.</w:t>
      </w:r>
    </w:p>
  </w:footnote>
  <w:footnote w:id="19">
    <w:p w:rsidR="008535EB" w:rsidRPr="004F65EB" w:rsidRDefault="008535EB">
      <w:pPr>
        <w:pStyle w:val="Textonotapie"/>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Lo que realmente no está justificado porque, como fue arriba explicado, solo se dieron razones para justificar el allanamiento por posible obstrucción de la justicia.</w:t>
      </w:r>
    </w:p>
  </w:footnote>
  <w:footnote w:id="20">
    <w:p w:rsidR="00BB774A" w:rsidRPr="004F65EB" w:rsidRDefault="00BB774A">
      <w:pPr>
        <w:pStyle w:val="Textonotapie"/>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Resolución 2, ps. 29 y 30.</w:t>
      </w:r>
    </w:p>
  </w:footnote>
  <w:footnote w:id="21">
    <w:p w:rsidR="00BB774A" w:rsidRPr="004F65EB" w:rsidRDefault="00BB774A">
      <w:pPr>
        <w:pStyle w:val="Textonotapie"/>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Resolución 2, p. 32.</w:t>
      </w:r>
    </w:p>
  </w:footnote>
  <w:footnote w:id="22">
    <w:p w:rsidR="003337EA" w:rsidRPr="004F65EB" w:rsidRDefault="003337EA" w:rsidP="00BB774A">
      <w:pPr>
        <w:pStyle w:val="Textonotapie"/>
        <w:jc w:val="both"/>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Como consta en el acta de allanamiento del local ubicado en Cale Dalton 237, San Borja, a este local ingresa el equipo fiscal a las 10:10; y la Resolución 2, de allanamiento de este mismo local de la Calle Dalton 237, fue notificada al Estudio Oré a las 16:20 horas. Cfr. página 1 del acta de allanamiento.</w:t>
      </w:r>
    </w:p>
  </w:footnote>
  <w:footnote w:id="23">
    <w:p w:rsidR="003337EA" w:rsidRPr="004F65EB" w:rsidRDefault="003337EA" w:rsidP="005C1D66">
      <w:pPr>
        <w:pStyle w:val="Textonotapie"/>
        <w:ind w:right="227"/>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w:t>
      </w:r>
      <w:r w:rsidR="00BB774A" w:rsidRPr="004F65EB">
        <w:rPr>
          <w:rFonts w:ascii="Times New Roman" w:hAnsi="Times New Roman" w:cs="Times New Roman"/>
        </w:rPr>
        <w:t>EXP. N.° 0976–2001–AA/TC, fundamento 5.</w:t>
      </w:r>
    </w:p>
  </w:footnote>
  <w:footnote w:id="24">
    <w:p w:rsidR="003337EA" w:rsidRPr="004F65EB" w:rsidRDefault="003337EA" w:rsidP="005C1D66">
      <w:pPr>
        <w:pStyle w:val="Textonotapie"/>
        <w:rPr>
          <w:rFonts w:ascii="Times New Roman" w:hAnsi="Times New Roman" w:cs="Times New Roman"/>
        </w:rPr>
      </w:pPr>
      <w:r w:rsidRPr="004F65EB">
        <w:rPr>
          <w:rStyle w:val="Refdenotaalpie"/>
          <w:rFonts w:ascii="Times New Roman" w:hAnsi="Times New Roman" w:cs="Times New Roman"/>
        </w:rPr>
        <w:footnoteRef/>
      </w:r>
      <w:r w:rsidR="00BB774A" w:rsidRPr="004F65EB">
        <w:rPr>
          <w:rFonts w:ascii="Times New Roman" w:hAnsi="Times New Roman" w:cs="Times New Roman"/>
        </w:rPr>
        <w:t xml:space="preserve"> EXP. N.°</w:t>
      </w:r>
      <w:r w:rsidRPr="004F65EB">
        <w:rPr>
          <w:rFonts w:ascii="Times New Roman" w:hAnsi="Times New Roman" w:cs="Times New Roman"/>
        </w:rPr>
        <w:t xml:space="preserve"> 06079</w:t>
      </w:r>
      <w:r w:rsidR="00BB774A" w:rsidRPr="004F65EB">
        <w:rPr>
          <w:rFonts w:ascii="Times New Roman" w:hAnsi="Times New Roman" w:cs="Times New Roman"/>
        </w:rPr>
        <w:t>–</w:t>
      </w:r>
      <w:r w:rsidRPr="004F65EB">
        <w:rPr>
          <w:rFonts w:ascii="Times New Roman" w:hAnsi="Times New Roman" w:cs="Times New Roman"/>
        </w:rPr>
        <w:t>2009</w:t>
      </w:r>
      <w:r w:rsidR="00BB774A" w:rsidRPr="004F65EB">
        <w:rPr>
          <w:rFonts w:ascii="Times New Roman" w:hAnsi="Times New Roman" w:cs="Times New Roman"/>
        </w:rPr>
        <w:t>–</w:t>
      </w:r>
      <w:r w:rsidRPr="004F65EB">
        <w:rPr>
          <w:rFonts w:ascii="Times New Roman" w:hAnsi="Times New Roman" w:cs="Times New Roman"/>
        </w:rPr>
        <w:t>PA/TC, fundamento 2.</w:t>
      </w:r>
    </w:p>
  </w:footnote>
  <w:footnote w:id="25">
    <w:p w:rsidR="00F67FBF" w:rsidRPr="004F65EB" w:rsidRDefault="00F67FBF">
      <w:pPr>
        <w:pStyle w:val="Textonotapie"/>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Tanto de la Resolución 1 como la 2, este derecho es tratado en el fundamento 5.2.4.</w:t>
      </w:r>
    </w:p>
  </w:footnote>
  <w:footnote w:id="26">
    <w:p w:rsidR="00BB774A" w:rsidRPr="004F65EB" w:rsidRDefault="00BB774A">
      <w:pPr>
        <w:pStyle w:val="Textonotapie"/>
        <w:rPr>
          <w:rFonts w:ascii="Times New Roman" w:hAnsi="Times New Roman" w:cs="Times New Roman"/>
        </w:rPr>
      </w:pPr>
      <w:r w:rsidRPr="004F65EB">
        <w:rPr>
          <w:rStyle w:val="Refdenotaalpie"/>
          <w:rFonts w:ascii="Times New Roman" w:hAnsi="Times New Roman" w:cs="Times New Roman"/>
        </w:rPr>
        <w:footnoteRef/>
      </w:r>
      <w:r w:rsidRPr="004F65EB">
        <w:rPr>
          <w:rFonts w:ascii="Times New Roman" w:hAnsi="Times New Roman" w:cs="Times New Roman"/>
        </w:rPr>
        <w:t xml:space="preserve"> Resolución 2, p. 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A2D86"/>
    <w:multiLevelType w:val="hybridMultilevel"/>
    <w:tmpl w:val="BE984ABE"/>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182161C6"/>
    <w:multiLevelType w:val="hybridMultilevel"/>
    <w:tmpl w:val="D1460768"/>
    <w:lvl w:ilvl="0" w:tplc="7A5EC728">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193123B9"/>
    <w:multiLevelType w:val="hybridMultilevel"/>
    <w:tmpl w:val="5D9CB8E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nsid w:val="21200396"/>
    <w:multiLevelType w:val="hybridMultilevel"/>
    <w:tmpl w:val="6CFA2CE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24C022C4"/>
    <w:multiLevelType w:val="hybridMultilevel"/>
    <w:tmpl w:val="DC06913E"/>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24C845B8"/>
    <w:multiLevelType w:val="hybridMultilevel"/>
    <w:tmpl w:val="48BEF774"/>
    <w:lvl w:ilvl="0" w:tplc="CE540660">
      <w:start w:val="1"/>
      <w:numFmt w:val="decimal"/>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28B434A3"/>
    <w:multiLevelType w:val="hybridMultilevel"/>
    <w:tmpl w:val="2192679C"/>
    <w:lvl w:ilvl="0" w:tplc="15CEF100">
      <w:start w:val="1"/>
      <w:numFmt w:val="decimal"/>
      <w:lvlText w:val="%1."/>
      <w:lvlJc w:val="left"/>
      <w:pPr>
        <w:ind w:left="1152" w:hanging="360"/>
      </w:pPr>
      <w:rPr>
        <w:rFonts w:hint="default"/>
        <w:b w:val="0"/>
      </w:rPr>
    </w:lvl>
    <w:lvl w:ilvl="1" w:tplc="280A0019" w:tentative="1">
      <w:start w:val="1"/>
      <w:numFmt w:val="lowerLetter"/>
      <w:lvlText w:val="%2."/>
      <w:lvlJc w:val="left"/>
      <w:pPr>
        <w:ind w:left="1872" w:hanging="360"/>
      </w:pPr>
    </w:lvl>
    <w:lvl w:ilvl="2" w:tplc="280A001B" w:tentative="1">
      <w:start w:val="1"/>
      <w:numFmt w:val="lowerRoman"/>
      <w:lvlText w:val="%3."/>
      <w:lvlJc w:val="right"/>
      <w:pPr>
        <w:ind w:left="2592" w:hanging="180"/>
      </w:pPr>
    </w:lvl>
    <w:lvl w:ilvl="3" w:tplc="280A000F" w:tentative="1">
      <w:start w:val="1"/>
      <w:numFmt w:val="decimal"/>
      <w:lvlText w:val="%4."/>
      <w:lvlJc w:val="left"/>
      <w:pPr>
        <w:ind w:left="3312" w:hanging="360"/>
      </w:pPr>
    </w:lvl>
    <w:lvl w:ilvl="4" w:tplc="280A0019" w:tentative="1">
      <w:start w:val="1"/>
      <w:numFmt w:val="lowerLetter"/>
      <w:lvlText w:val="%5."/>
      <w:lvlJc w:val="left"/>
      <w:pPr>
        <w:ind w:left="4032" w:hanging="360"/>
      </w:pPr>
    </w:lvl>
    <w:lvl w:ilvl="5" w:tplc="280A001B" w:tentative="1">
      <w:start w:val="1"/>
      <w:numFmt w:val="lowerRoman"/>
      <w:lvlText w:val="%6."/>
      <w:lvlJc w:val="right"/>
      <w:pPr>
        <w:ind w:left="4752" w:hanging="180"/>
      </w:pPr>
    </w:lvl>
    <w:lvl w:ilvl="6" w:tplc="280A000F" w:tentative="1">
      <w:start w:val="1"/>
      <w:numFmt w:val="decimal"/>
      <w:lvlText w:val="%7."/>
      <w:lvlJc w:val="left"/>
      <w:pPr>
        <w:ind w:left="5472" w:hanging="360"/>
      </w:pPr>
    </w:lvl>
    <w:lvl w:ilvl="7" w:tplc="280A0019" w:tentative="1">
      <w:start w:val="1"/>
      <w:numFmt w:val="lowerLetter"/>
      <w:lvlText w:val="%8."/>
      <w:lvlJc w:val="left"/>
      <w:pPr>
        <w:ind w:left="6192" w:hanging="360"/>
      </w:pPr>
    </w:lvl>
    <w:lvl w:ilvl="8" w:tplc="280A001B" w:tentative="1">
      <w:start w:val="1"/>
      <w:numFmt w:val="lowerRoman"/>
      <w:lvlText w:val="%9."/>
      <w:lvlJc w:val="right"/>
      <w:pPr>
        <w:ind w:left="6912" w:hanging="180"/>
      </w:pPr>
    </w:lvl>
  </w:abstractNum>
  <w:abstractNum w:abstractNumId="7">
    <w:nsid w:val="29EF65C6"/>
    <w:multiLevelType w:val="hybridMultilevel"/>
    <w:tmpl w:val="4CACF4D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8">
    <w:nsid w:val="3DDC5D56"/>
    <w:multiLevelType w:val="multilevel"/>
    <w:tmpl w:val="2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B344981"/>
    <w:multiLevelType w:val="hybridMultilevel"/>
    <w:tmpl w:val="4E2A24C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582E28EF"/>
    <w:multiLevelType w:val="hybridMultilevel"/>
    <w:tmpl w:val="59B874CE"/>
    <w:lvl w:ilvl="0" w:tplc="280A0001">
      <w:start w:val="1"/>
      <w:numFmt w:val="bullet"/>
      <w:lvlText w:val=""/>
      <w:lvlJc w:val="left"/>
      <w:pPr>
        <w:ind w:left="862" w:hanging="360"/>
      </w:pPr>
      <w:rPr>
        <w:rFonts w:ascii="Symbol" w:hAnsi="Symbol" w:hint="default"/>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11">
    <w:nsid w:val="5AA546B0"/>
    <w:multiLevelType w:val="hybridMultilevel"/>
    <w:tmpl w:val="E90C2B66"/>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nsid w:val="68357C3B"/>
    <w:multiLevelType w:val="hybridMultilevel"/>
    <w:tmpl w:val="7358742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nsid w:val="6B5311C5"/>
    <w:multiLevelType w:val="hybridMultilevel"/>
    <w:tmpl w:val="9498064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nsid w:val="6EAB7172"/>
    <w:multiLevelType w:val="hybridMultilevel"/>
    <w:tmpl w:val="D7B84300"/>
    <w:lvl w:ilvl="0" w:tplc="3140CEB6">
      <w:start w:val="1"/>
      <w:numFmt w:val="decimal"/>
      <w:lvlText w:val="%1."/>
      <w:lvlJc w:val="left"/>
      <w:pPr>
        <w:ind w:left="1152" w:hanging="360"/>
      </w:pPr>
      <w:rPr>
        <w:rFonts w:hint="default"/>
      </w:rPr>
    </w:lvl>
    <w:lvl w:ilvl="1" w:tplc="280A0019" w:tentative="1">
      <w:start w:val="1"/>
      <w:numFmt w:val="lowerLetter"/>
      <w:lvlText w:val="%2."/>
      <w:lvlJc w:val="left"/>
      <w:pPr>
        <w:ind w:left="1872" w:hanging="360"/>
      </w:pPr>
    </w:lvl>
    <w:lvl w:ilvl="2" w:tplc="280A001B" w:tentative="1">
      <w:start w:val="1"/>
      <w:numFmt w:val="lowerRoman"/>
      <w:lvlText w:val="%3."/>
      <w:lvlJc w:val="right"/>
      <w:pPr>
        <w:ind w:left="2592" w:hanging="180"/>
      </w:pPr>
    </w:lvl>
    <w:lvl w:ilvl="3" w:tplc="280A000F" w:tentative="1">
      <w:start w:val="1"/>
      <w:numFmt w:val="decimal"/>
      <w:lvlText w:val="%4."/>
      <w:lvlJc w:val="left"/>
      <w:pPr>
        <w:ind w:left="3312" w:hanging="360"/>
      </w:pPr>
    </w:lvl>
    <w:lvl w:ilvl="4" w:tplc="280A0019" w:tentative="1">
      <w:start w:val="1"/>
      <w:numFmt w:val="lowerLetter"/>
      <w:lvlText w:val="%5."/>
      <w:lvlJc w:val="left"/>
      <w:pPr>
        <w:ind w:left="4032" w:hanging="360"/>
      </w:pPr>
    </w:lvl>
    <w:lvl w:ilvl="5" w:tplc="280A001B" w:tentative="1">
      <w:start w:val="1"/>
      <w:numFmt w:val="lowerRoman"/>
      <w:lvlText w:val="%6."/>
      <w:lvlJc w:val="right"/>
      <w:pPr>
        <w:ind w:left="4752" w:hanging="180"/>
      </w:pPr>
    </w:lvl>
    <w:lvl w:ilvl="6" w:tplc="280A000F" w:tentative="1">
      <w:start w:val="1"/>
      <w:numFmt w:val="decimal"/>
      <w:lvlText w:val="%7."/>
      <w:lvlJc w:val="left"/>
      <w:pPr>
        <w:ind w:left="5472" w:hanging="360"/>
      </w:pPr>
    </w:lvl>
    <w:lvl w:ilvl="7" w:tplc="280A0019" w:tentative="1">
      <w:start w:val="1"/>
      <w:numFmt w:val="lowerLetter"/>
      <w:lvlText w:val="%8."/>
      <w:lvlJc w:val="left"/>
      <w:pPr>
        <w:ind w:left="6192" w:hanging="360"/>
      </w:pPr>
    </w:lvl>
    <w:lvl w:ilvl="8" w:tplc="280A001B" w:tentative="1">
      <w:start w:val="1"/>
      <w:numFmt w:val="lowerRoman"/>
      <w:lvlText w:val="%9."/>
      <w:lvlJc w:val="right"/>
      <w:pPr>
        <w:ind w:left="6912" w:hanging="180"/>
      </w:pPr>
    </w:lvl>
  </w:abstractNum>
  <w:abstractNum w:abstractNumId="15">
    <w:nsid w:val="790B7237"/>
    <w:multiLevelType w:val="hybridMultilevel"/>
    <w:tmpl w:val="0A2A375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nsid w:val="7BBB1011"/>
    <w:multiLevelType w:val="hybridMultilevel"/>
    <w:tmpl w:val="1DA217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nsid w:val="7C2911B9"/>
    <w:multiLevelType w:val="hybridMultilevel"/>
    <w:tmpl w:val="C2109234"/>
    <w:lvl w:ilvl="0" w:tplc="1E701B90">
      <w:start w:val="1"/>
      <w:numFmt w:val="lowerRoman"/>
      <w:lvlText w:val="(%1)"/>
      <w:lvlJc w:val="left"/>
      <w:pPr>
        <w:ind w:left="1872" w:hanging="720"/>
      </w:pPr>
      <w:rPr>
        <w:rFonts w:hint="default"/>
        <w:b w:val="0"/>
      </w:rPr>
    </w:lvl>
    <w:lvl w:ilvl="1" w:tplc="280A0019" w:tentative="1">
      <w:start w:val="1"/>
      <w:numFmt w:val="lowerLetter"/>
      <w:lvlText w:val="%2."/>
      <w:lvlJc w:val="left"/>
      <w:pPr>
        <w:ind w:left="2232" w:hanging="360"/>
      </w:pPr>
    </w:lvl>
    <w:lvl w:ilvl="2" w:tplc="280A001B" w:tentative="1">
      <w:start w:val="1"/>
      <w:numFmt w:val="lowerRoman"/>
      <w:lvlText w:val="%3."/>
      <w:lvlJc w:val="right"/>
      <w:pPr>
        <w:ind w:left="2952" w:hanging="180"/>
      </w:pPr>
    </w:lvl>
    <w:lvl w:ilvl="3" w:tplc="280A000F" w:tentative="1">
      <w:start w:val="1"/>
      <w:numFmt w:val="decimal"/>
      <w:lvlText w:val="%4."/>
      <w:lvlJc w:val="left"/>
      <w:pPr>
        <w:ind w:left="3672" w:hanging="360"/>
      </w:pPr>
    </w:lvl>
    <w:lvl w:ilvl="4" w:tplc="280A0019" w:tentative="1">
      <w:start w:val="1"/>
      <w:numFmt w:val="lowerLetter"/>
      <w:lvlText w:val="%5."/>
      <w:lvlJc w:val="left"/>
      <w:pPr>
        <w:ind w:left="4392" w:hanging="360"/>
      </w:pPr>
    </w:lvl>
    <w:lvl w:ilvl="5" w:tplc="280A001B" w:tentative="1">
      <w:start w:val="1"/>
      <w:numFmt w:val="lowerRoman"/>
      <w:lvlText w:val="%6."/>
      <w:lvlJc w:val="right"/>
      <w:pPr>
        <w:ind w:left="5112" w:hanging="180"/>
      </w:pPr>
    </w:lvl>
    <w:lvl w:ilvl="6" w:tplc="280A000F" w:tentative="1">
      <w:start w:val="1"/>
      <w:numFmt w:val="decimal"/>
      <w:lvlText w:val="%7."/>
      <w:lvlJc w:val="left"/>
      <w:pPr>
        <w:ind w:left="5832" w:hanging="360"/>
      </w:pPr>
    </w:lvl>
    <w:lvl w:ilvl="7" w:tplc="280A0019" w:tentative="1">
      <w:start w:val="1"/>
      <w:numFmt w:val="lowerLetter"/>
      <w:lvlText w:val="%8."/>
      <w:lvlJc w:val="left"/>
      <w:pPr>
        <w:ind w:left="6552" w:hanging="360"/>
      </w:pPr>
    </w:lvl>
    <w:lvl w:ilvl="8" w:tplc="280A001B" w:tentative="1">
      <w:start w:val="1"/>
      <w:numFmt w:val="lowerRoman"/>
      <w:lvlText w:val="%9."/>
      <w:lvlJc w:val="right"/>
      <w:pPr>
        <w:ind w:left="7272" w:hanging="180"/>
      </w:pPr>
    </w:lvl>
  </w:abstractNum>
  <w:num w:numId="1">
    <w:abstractNumId w:val="8"/>
  </w:num>
  <w:num w:numId="2">
    <w:abstractNumId w:val="5"/>
  </w:num>
  <w:num w:numId="3">
    <w:abstractNumId w:val="13"/>
  </w:num>
  <w:num w:numId="4">
    <w:abstractNumId w:val="2"/>
  </w:num>
  <w:num w:numId="5">
    <w:abstractNumId w:val="12"/>
  </w:num>
  <w:num w:numId="6">
    <w:abstractNumId w:val="15"/>
  </w:num>
  <w:num w:numId="7">
    <w:abstractNumId w:val="7"/>
  </w:num>
  <w:num w:numId="8">
    <w:abstractNumId w:val="1"/>
  </w:num>
  <w:num w:numId="9">
    <w:abstractNumId w:val="6"/>
  </w:num>
  <w:num w:numId="10">
    <w:abstractNumId w:val="17"/>
  </w:num>
  <w:num w:numId="11">
    <w:abstractNumId w:val="14"/>
  </w:num>
  <w:num w:numId="12">
    <w:abstractNumId w:val="10"/>
  </w:num>
  <w:num w:numId="13">
    <w:abstractNumId w:val="16"/>
  </w:num>
  <w:num w:numId="14">
    <w:abstractNumId w:val="9"/>
  </w:num>
  <w:num w:numId="15">
    <w:abstractNumId w:val="0"/>
  </w:num>
  <w:num w:numId="16">
    <w:abstractNumId w:val="3"/>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CD"/>
    <w:rsid w:val="00010551"/>
    <w:rsid w:val="00010DAA"/>
    <w:rsid w:val="00030795"/>
    <w:rsid w:val="00032168"/>
    <w:rsid w:val="000374F5"/>
    <w:rsid w:val="00042A75"/>
    <w:rsid w:val="00047F75"/>
    <w:rsid w:val="00050970"/>
    <w:rsid w:val="00053A6B"/>
    <w:rsid w:val="0006021A"/>
    <w:rsid w:val="0006085D"/>
    <w:rsid w:val="0007211D"/>
    <w:rsid w:val="00076310"/>
    <w:rsid w:val="000944FF"/>
    <w:rsid w:val="00097CFF"/>
    <w:rsid w:val="000A2461"/>
    <w:rsid w:val="000B19FD"/>
    <w:rsid w:val="000D3F5C"/>
    <w:rsid w:val="000D5547"/>
    <w:rsid w:val="000F7D51"/>
    <w:rsid w:val="00124805"/>
    <w:rsid w:val="001439B7"/>
    <w:rsid w:val="00150035"/>
    <w:rsid w:val="00152D29"/>
    <w:rsid w:val="00155715"/>
    <w:rsid w:val="00160DCA"/>
    <w:rsid w:val="00162937"/>
    <w:rsid w:val="00186C82"/>
    <w:rsid w:val="00187521"/>
    <w:rsid w:val="001A11AA"/>
    <w:rsid w:val="001C0B10"/>
    <w:rsid w:val="001C6D96"/>
    <w:rsid w:val="001D1F84"/>
    <w:rsid w:val="001F4778"/>
    <w:rsid w:val="0021374E"/>
    <w:rsid w:val="002261CB"/>
    <w:rsid w:val="00236B39"/>
    <w:rsid w:val="00241E09"/>
    <w:rsid w:val="002656E9"/>
    <w:rsid w:val="002A477B"/>
    <w:rsid w:val="002B3654"/>
    <w:rsid w:val="002C5DAF"/>
    <w:rsid w:val="002D0679"/>
    <w:rsid w:val="002D10B3"/>
    <w:rsid w:val="002E090C"/>
    <w:rsid w:val="002E1B09"/>
    <w:rsid w:val="002E7CEB"/>
    <w:rsid w:val="002F60DA"/>
    <w:rsid w:val="00306894"/>
    <w:rsid w:val="00313F5C"/>
    <w:rsid w:val="003337EA"/>
    <w:rsid w:val="0033787D"/>
    <w:rsid w:val="003500C7"/>
    <w:rsid w:val="003518A5"/>
    <w:rsid w:val="003546E8"/>
    <w:rsid w:val="00367F12"/>
    <w:rsid w:val="00371ADD"/>
    <w:rsid w:val="00375B41"/>
    <w:rsid w:val="003A5C49"/>
    <w:rsid w:val="003B3FEA"/>
    <w:rsid w:val="003B4301"/>
    <w:rsid w:val="003B6D38"/>
    <w:rsid w:val="003B6FCD"/>
    <w:rsid w:val="003C4A11"/>
    <w:rsid w:val="003C6BF7"/>
    <w:rsid w:val="003F1EEA"/>
    <w:rsid w:val="00400F4D"/>
    <w:rsid w:val="0040734F"/>
    <w:rsid w:val="004109E6"/>
    <w:rsid w:val="004147CD"/>
    <w:rsid w:val="004300DA"/>
    <w:rsid w:val="00430BD2"/>
    <w:rsid w:val="00452A87"/>
    <w:rsid w:val="004548FC"/>
    <w:rsid w:val="00481C92"/>
    <w:rsid w:val="004A1C64"/>
    <w:rsid w:val="004F65EB"/>
    <w:rsid w:val="00506653"/>
    <w:rsid w:val="005268EC"/>
    <w:rsid w:val="00545D21"/>
    <w:rsid w:val="00580419"/>
    <w:rsid w:val="00581C5C"/>
    <w:rsid w:val="00594C83"/>
    <w:rsid w:val="005A0682"/>
    <w:rsid w:val="005B695C"/>
    <w:rsid w:val="005B701F"/>
    <w:rsid w:val="005B7ADE"/>
    <w:rsid w:val="005C1D66"/>
    <w:rsid w:val="005C5223"/>
    <w:rsid w:val="005C7917"/>
    <w:rsid w:val="005D5757"/>
    <w:rsid w:val="005E5732"/>
    <w:rsid w:val="005F49AC"/>
    <w:rsid w:val="005F51D6"/>
    <w:rsid w:val="0060594F"/>
    <w:rsid w:val="00607E63"/>
    <w:rsid w:val="00626DE1"/>
    <w:rsid w:val="00631153"/>
    <w:rsid w:val="00631547"/>
    <w:rsid w:val="00640AD1"/>
    <w:rsid w:val="006429A5"/>
    <w:rsid w:val="006447B9"/>
    <w:rsid w:val="0065180E"/>
    <w:rsid w:val="0066702B"/>
    <w:rsid w:val="00674C74"/>
    <w:rsid w:val="00681E2B"/>
    <w:rsid w:val="0068799D"/>
    <w:rsid w:val="006C13F0"/>
    <w:rsid w:val="006D1D14"/>
    <w:rsid w:val="006D2374"/>
    <w:rsid w:val="006D3C18"/>
    <w:rsid w:val="006F407E"/>
    <w:rsid w:val="006F6441"/>
    <w:rsid w:val="00722261"/>
    <w:rsid w:val="00727A18"/>
    <w:rsid w:val="00732914"/>
    <w:rsid w:val="00744511"/>
    <w:rsid w:val="00751236"/>
    <w:rsid w:val="00753D19"/>
    <w:rsid w:val="00756830"/>
    <w:rsid w:val="00762758"/>
    <w:rsid w:val="00774A57"/>
    <w:rsid w:val="0077642C"/>
    <w:rsid w:val="00792A61"/>
    <w:rsid w:val="007932FE"/>
    <w:rsid w:val="0079448A"/>
    <w:rsid w:val="007A2106"/>
    <w:rsid w:val="007B3BCF"/>
    <w:rsid w:val="007B3E55"/>
    <w:rsid w:val="007C10AF"/>
    <w:rsid w:val="007C26ED"/>
    <w:rsid w:val="007C6027"/>
    <w:rsid w:val="007D437F"/>
    <w:rsid w:val="007E5D5B"/>
    <w:rsid w:val="007F3EB5"/>
    <w:rsid w:val="007F788F"/>
    <w:rsid w:val="00821472"/>
    <w:rsid w:val="00824B6D"/>
    <w:rsid w:val="0084061D"/>
    <w:rsid w:val="008413E1"/>
    <w:rsid w:val="008535EB"/>
    <w:rsid w:val="00857E8D"/>
    <w:rsid w:val="00862BAE"/>
    <w:rsid w:val="00866F37"/>
    <w:rsid w:val="00867661"/>
    <w:rsid w:val="00867739"/>
    <w:rsid w:val="008711EE"/>
    <w:rsid w:val="008770DA"/>
    <w:rsid w:val="008A0E16"/>
    <w:rsid w:val="008C1751"/>
    <w:rsid w:val="008C251F"/>
    <w:rsid w:val="008D1F39"/>
    <w:rsid w:val="008F104C"/>
    <w:rsid w:val="0090171E"/>
    <w:rsid w:val="00914368"/>
    <w:rsid w:val="009157E0"/>
    <w:rsid w:val="00937279"/>
    <w:rsid w:val="009446AA"/>
    <w:rsid w:val="00952308"/>
    <w:rsid w:val="00952C49"/>
    <w:rsid w:val="00960820"/>
    <w:rsid w:val="0098269C"/>
    <w:rsid w:val="0099011C"/>
    <w:rsid w:val="00991CF8"/>
    <w:rsid w:val="009A3600"/>
    <w:rsid w:val="009A4D2A"/>
    <w:rsid w:val="009A539E"/>
    <w:rsid w:val="009A7828"/>
    <w:rsid w:val="009B3D3F"/>
    <w:rsid w:val="009B4557"/>
    <w:rsid w:val="009B799E"/>
    <w:rsid w:val="009B7F40"/>
    <w:rsid w:val="009C297F"/>
    <w:rsid w:val="009D18AC"/>
    <w:rsid w:val="009E566D"/>
    <w:rsid w:val="009F3E65"/>
    <w:rsid w:val="009F669D"/>
    <w:rsid w:val="00A14D95"/>
    <w:rsid w:val="00A37AAF"/>
    <w:rsid w:val="00A431F4"/>
    <w:rsid w:val="00A43FA0"/>
    <w:rsid w:val="00A60ADD"/>
    <w:rsid w:val="00A7052B"/>
    <w:rsid w:val="00A72212"/>
    <w:rsid w:val="00A80487"/>
    <w:rsid w:val="00A8333F"/>
    <w:rsid w:val="00A83DD2"/>
    <w:rsid w:val="00A8642C"/>
    <w:rsid w:val="00A960ED"/>
    <w:rsid w:val="00AA10D9"/>
    <w:rsid w:val="00AB52BE"/>
    <w:rsid w:val="00AD780A"/>
    <w:rsid w:val="00AD7CE6"/>
    <w:rsid w:val="00AE3138"/>
    <w:rsid w:val="00AE69D8"/>
    <w:rsid w:val="00B14DC2"/>
    <w:rsid w:val="00B326F8"/>
    <w:rsid w:val="00B609F4"/>
    <w:rsid w:val="00B63BCB"/>
    <w:rsid w:val="00B677FC"/>
    <w:rsid w:val="00B77EC4"/>
    <w:rsid w:val="00B847A2"/>
    <w:rsid w:val="00B875CD"/>
    <w:rsid w:val="00BB3EE0"/>
    <w:rsid w:val="00BB774A"/>
    <w:rsid w:val="00BC0ADC"/>
    <w:rsid w:val="00BE535E"/>
    <w:rsid w:val="00BF2AC2"/>
    <w:rsid w:val="00C06784"/>
    <w:rsid w:val="00C314A3"/>
    <w:rsid w:val="00C32F64"/>
    <w:rsid w:val="00C338A8"/>
    <w:rsid w:val="00C36699"/>
    <w:rsid w:val="00C41F93"/>
    <w:rsid w:val="00C42C47"/>
    <w:rsid w:val="00C56FBE"/>
    <w:rsid w:val="00C62CAB"/>
    <w:rsid w:val="00C67A95"/>
    <w:rsid w:val="00C84B9D"/>
    <w:rsid w:val="00C949E1"/>
    <w:rsid w:val="00C96B43"/>
    <w:rsid w:val="00C97E04"/>
    <w:rsid w:val="00CC38AE"/>
    <w:rsid w:val="00CF3675"/>
    <w:rsid w:val="00CF7EBC"/>
    <w:rsid w:val="00D064A0"/>
    <w:rsid w:val="00D1130E"/>
    <w:rsid w:val="00D34F26"/>
    <w:rsid w:val="00D37D0C"/>
    <w:rsid w:val="00D4235C"/>
    <w:rsid w:val="00D53F9A"/>
    <w:rsid w:val="00D6278E"/>
    <w:rsid w:val="00D9768E"/>
    <w:rsid w:val="00DA06DA"/>
    <w:rsid w:val="00DB53D1"/>
    <w:rsid w:val="00DC2358"/>
    <w:rsid w:val="00DD4496"/>
    <w:rsid w:val="00DD6446"/>
    <w:rsid w:val="00E27870"/>
    <w:rsid w:val="00E31FCF"/>
    <w:rsid w:val="00E55636"/>
    <w:rsid w:val="00E62A3D"/>
    <w:rsid w:val="00E67153"/>
    <w:rsid w:val="00E85F94"/>
    <w:rsid w:val="00E90FC7"/>
    <w:rsid w:val="00E97E62"/>
    <w:rsid w:val="00EA4671"/>
    <w:rsid w:val="00EA4C52"/>
    <w:rsid w:val="00EA75E8"/>
    <w:rsid w:val="00EB23D8"/>
    <w:rsid w:val="00EB629A"/>
    <w:rsid w:val="00ED5EC4"/>
    <w:rsid w:val="00EF1890"/>
    <w:rsid w:val="00EF4978"/>
    <w:rsid w:val="00EF7861"/>
    <w:rsid w:val="00F115AA"/>
    <w:rsid w:val="00F22063"/>
    <w:rsid w:val="00F24B57"/>
    <w:rsid w:val="00F27920"/>
    <w:rsid w:val="00F33170"/>
    <w:rsid w:val="00F51807"/>
    <w:rsid w:val="00F52BC5"/>
    <w:rsid w:val="00F5490A"/>
    <w:rsid w:val="00F61EDA"/>
    <w:rsid w:val="00F67FBF"/>
    <w:rsid w:val="00F848D2"/>
    <w:rsid w:val="00F92961"/>
    <w:rsid w:val="00F93EE3"/>
    <w:rsid w:val="00FB127D"/>
    <w:rsid w:val="00FB5BDE"/>
    <w:rsid w:val="00FD5662"/>
    <w:rsid w:val="00FE529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59AEB-C8A5-46DE-A05D-D0DB9C7D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642C"/>
    <w:pPr>
      <w:ind w:left="720"/>
      <w:contextualSpacing/>
    </w:pPr>
  </w:style>
  <w:style w:type="paragraph" w:styleId="Encabezado">
    <w:name w:val="header"/>
    <w:basedOn w:val="Normal"/>
    <w:link w:val="EncabezadoCar"/>
    <w:uiPriority w:val="99"/>
    <w:unhideWhenUsed/>
    <w:rsid w:val="00CC38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38AE"/>
  </w:style>
  <w:style w:type="paragraph" w:styleId="Piedepgina">
    <w:name w:val="footer"/>
    <w:basedOn w:val="Normal"/>
    <w:link w:val="PiedepginaCar"/>
    <w:uiPriority w:val="99"/>
    <w:unhideWhenUsed/>
    <w:rsid w:val="00CC38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38AE"/>
  </w:style>
  <w:style w:type="table" w:styleId="Tablaconcuadrcula">
    <w:name w:val="Table Grid"/>
    <w:basedOn w:val="Tablanormal"/>
    <w:uiPriority w:val="59"/>
    <w:rsid w:val="008413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B3E5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E55"/>
    <w:rPr>
      <w:rFonts w:ascii="Segoe UI" w:hAnsi="Segoe UI" w:cs="Segoe UI"/>
      <w:sz w:val="18"/>
      <w:szCs w:val="18"/>
    </w:rPr>
  </w:style>
  <w:style w:type="paragraph" w:styleId="Textonotapie">
    <w:name w:val="footnote text"/>
    <w:basedOn w:val="Normal"/>
    <w:link w:val="TextonotapieCar"/>
    <w:semiHidden/>
    <w:unhideWhenUsed/>
    <w:rsid w:val="009C297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C297F"/>
    <w:rPr>
      <w:sz w:val="20"/>
      <w:szCs w:val="20"/>
    </w:rPr>
  </w:style>
  <w:style w:type="character" w:styleId="Refdenotaalpie">
    <w:name w:val="footnote reference"/>
    <w:aliases w:val="Texto de nota al pie,Appel note de bas de page,Footnotes refss"/>
    <w:basedOn w:val="Fuentedeprrafopredeter"/>
    <w:unhideWhenUsed/>
    <w:rsid w:val="009C29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407632">
      <w:bodyDiv w:val="1"/>
      <w:marLeft w:val="0"/>
      <w:marRight w:val="0"/>
      <w:marTop w:val="0"/>
      <w:marBottom w:val="0"/>
      <w:divBdr>
        <w:top w:val="none" w:sz="0" w:space="0" w:color="auto"/>
        <w:left w:val="none" w:sz="0" w:space="0" w:color="auto"/>
        <w:bottom w:val="none" w:sz="0" w:space="0" w:color="auto"/>
        <w:right w:val="none" w:sz="0" w:space="0" w:color="auto"/>
      </w:divBdr>
    </w:div>
    <w:div w:id="761802506">
      <w:bodyDiv w:val="1"/>
      <w:marLeft w:val="0"/>
      <w:marRight w:val="0"/>
      <w:marTop w:val="0"/>
      <w:marBottom w:val="0"/>
      <w:divBdr>
        <w:top w:val="none" w:sz="0" w:space="0" w:color="auto"/>
        <w:left w:val="none" w:sz="0" w:space="0" w:color="auto"/>
        <w:bottom w:val="none" w:sz="0" w:space="0" w:color="auto"/>
        <w:right w:val="none" w:sz="0" w:space="0" w:color="auto"/>
      </w:divBdr>
    </w:div>
    <w:div w:id="151939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C7CC0-9FDA-431A-9F80-1B111212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4907</Words>
  <Characters>26989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Valenzuela Ylizarbe</dc:creator>
  <cp:keywords/>
  <dc:description/>
  <cp:lastModifiedBy>Claudia Vértiz</cp:lastModifiedBy>
  <cp:revision>2</cp:revision>
  <cp:lastPrinted>2018-12-21T20:46:00Z</cp:lastPrinted>
  <dcterms:created xsi:type="dcterms:W3CDTF">2019-03-27T17:05:00Z</dcterms:created>
  <dcterms:modified xsi:type="dcterms:W3CDTF">2019-03-27T17:05:00Z</dcterms:modified>
</cp:coreProperties>
</file>